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7C61C4" w:rsidP="007C61C4">
      <w:pPr>
        <w:pStyle w:val="Annex1"/>
        <w:jc w:val="left"/>
      </w:pPr>
      <w:bookmarkStart w:id="0" w:name="_GoBack"/>
      <w:bookmarkEnd w:id="0"/>
      <w:r>
        <w:t>/ Schedule 8</w:t>
      </w:r>
      <w:r w:rsidR="0009451B">
        <w:br/>
      </w:r>
      <w:bookmarkStart w:id="1" w:name="_Toc409724715"/>
      <w:r w:rsidR="0009451B" w:rsidRPr="001D7B77">
        <w:t xml:space="preserve">Zmluva </w:t>
      </w:r>
      <w:r w:rsidR="00755E70" w:rsidRPr="001D7B77">
        <w:t>o</w:t>
      </w:r>
      <w:r w:rsidR="00755E70">
        <w:t> </w:t>
      </w:r>
      <w:r w:rsidR="0009451B" w:rsidRPr="001D7B77">
        <w:t>zabezpečení finančných zdrojov/odbornej kapacity</w:t>
      </w:r>
      <w:bookmarkEnd w:id="1"/>
      <w:r>
        <w:t>/ Agreement on  securing of  financial resources/expert capacity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1"/>
        <w:gridCol w:w="4622"/>
      </w:tblGrid>
      <w:tr w:rsidR="0009451B" w:rsidRPr="006F5834" w:rsidTr="003A4D9A">
        <w:tc>
          <w:tcPr>
            <w:tcW w:w="4621" w:type="dxa"/>
          </w:tcPr>
          <w:p w:rsidR="0009451B" w:rsidRPr="006F5834" w:rsidRDefault="003775BB" w:rsidP="003A4D9A">
            <w:pPr>
              <w:pStyle w:val="wText"/>
              <w:jc w:val="center"/>
            </w:pPr>
            <w:r w:rsidRPr="003A4D9A">
              <w:rPr>
                <w:rFonts w:ascii="Times New Roman Bold" w:hAnsi="Times New Roman Bold"/>
                <w:b/>
                <w:caps/>
              </w:rPr>
              <w:t xml:space="preserve">Zmluva </w:t>
            </w:r>
            <w:r w:rsidR="00755E70" w:rsidRPr="003A4D9A">
              <w:rPr>
                <w:rFonts w:ascii="Times New Roman Bold" w:hAnsi="Times New Roman Bold"/>
                <w:b/>
                <w:caps/>
              </w:rPr>
              <w:t>o </w:t>
            </w:r>
            <w:r w:rsidR="0009451B" w:rsidRPr="003A4D9A">
              <w:rPr>
                <w:rFonts w:ascii="Times New Roman Bold" w:hAnsi="Times New Roman Bold"/>
                <w:b/>
                <w:caps/>
              </w:rPr>
              <w:t>zabezpečení finančných zdrojov/odbornej kapacity</w:t>
            </w:r>
            <w:r w:rsidR="0009451B" w:rsidRPr="006F5834">
              <w:rPr>
                <w:vertAlign w:val="superscript"/>
              </w:rPr>
              <w:footnoteReference w:id="1"/>
            </w:r>
          </w:p>
        </w:tc>
        <w:tc>
          <w:tcPr>
            <w:tcW w:w="4622" w:type="dxa"/>
          </w:tcPr>
          <w:p w:rsidR="0009451B" w:rsidRPr="006F5834" w:rsidRDefault="0009451B" w:rsidP="003A4D9A">
            <w:pPr>
              <w:pStyle w:val="wText"/>
              <w:jc w:val="center"/>
            </w:pPr>
            <w:r w:rsidRPr="003A4D9A">
              <w:rPr>
                <w:rFonts w:ascii="Times New Roman Bold" w:hAnsi="Times New Roman Bold"/>
                <w:b/>
                <w:caps/>
              </w:rPr>
              <w:t>Agreement on</w:t>
            </w:r>
            <w:r w:rsidR="00755E70" w:rsidRPr="003A4D9A">
              <w:rPr>
                <w:rFonts w:ascii="Times New Roman Bold" w:hAnsi="Times New Roman Bold"/>
                <w:b/>
                <w:caps/>
              </w:rPr>
              <w:t xml:space="preserve"> </w:t>
            </w:r>
            <w:r w:rsidRPr="003A4D9A">
              <w:rPr>
                <w:rFonts w:ascii="Times New Roman Bold" w:hAnsi="Times New Roman Bold"/>
                <w:b/>
                <w:caps/>
              </w:rPr>
              <w:t>securing of</w:t>
            </w:r>
            <w:r w:rsidR="00755E70" w:rsidRPr="003A4D9A">
              <w:rPr>
                <w:rFonts w:ascii="Times New Roman Bold" w:hAnsi="Times New Roman Bold"/>
                <w:b/>
                <w:caps/>
              </w:rPr>
              <w:t xml:space="preserve"> </w:t>
            </w:r>
            <w:r w:rsidRPr="003A4D9A">
              <w:rPr>
                <w:rFonts w:ascii="Times New Roman Bold" w:hAnsi="Times New Roman Bold"/>
                <w:b/>
                <w:caps/>
              </w:rPr>
              <w:t>financial resources/expert capacity</w:t>
            </w:r>
            <w:r w:rsidRPr="006F5834">
              <w:rPr>
                <w:vertAlign w:val="superscript"/>
              </w:rPr>
              <w:footnoteReference w:id="2"/>
            </w:r>
          </w:p>
        </w:tc>
      </w:tr>
      <w:tr w:rsidR="003A4D9A" w:rsidRPr="006F5834" w:rsidTr="003A4D9A">
        <w:tc>
          <w:tcPr>
            <w:tcW w:w="4621" w:type="dxa"/>
          </w:tcPr>
          <w:p w:rsidR="003A4D9A" w:rsidRPr="003A4D9A" w:rsidRDefault="003A4D9A" w:rsidP="00BA0FDD">
            <w:pPr>
              <w:pStyle w:val="wText"/>
              <w:jc w:val="center"/>
              <w:rPr>
                <w:rFonts w:ascii="Times New Roman Bold" w:hAnsi="Times New Roman Bold"/>
                <w:b/>
                <w:caps/>
              </w:rPr>
            </w:pPr>
            <w:r w:rsidRPr="006F5834">
              <w:t>uzavretá podľa § 269 a</w:t>
            </w:r>
            <w:r>
              <w:t> </w:t>
            </w:r>
            <w:r w:rsidRPr="006F5834">
              <w:t xml:space="preserve">nasl. zákona </w:t>
            </w:r>
            <w:r>
              <w:t>č.</w:t>
            </w:r>
            <w:r w:rsidRPr="006F5834">
              <w:t xml:space="preserve"> 513/1991 Zb. Obchodný zákonn</w:t>
            </w:r>
            <w:r>
              <w:t>ík v znení neskorších predpisov</w:t>
            </w:r>
          </w:p>
        </w:tc>
        <w:tc>
          <w:tcPr>
            <w:tcW w:w="4622" w:type="dxa"/>
          </w:tcPr>
          <w:p w:rsidR="003A4D9A" w:rsidRPr="003A4D9A" w:rsidRDefault="003A4D9A" w:rsidP="00127837">
            <w:pPr>
              <w:pStyle w:val="wText"/>
              <w:jc w:val="center"/>
              <w:rPr>
                <w:rFonts w:ascii="Times New Roman Bold" w:hAnsi="Times New Roman Bold"/>
                <w:b/>
                <w:caps/>
              </w:rPr>
            </w:pPr>
            <w:r w:rsidRPr="006F5834">
              <w:t>entered into pursuant to Section 269 et seq. of Act</w:t>
            </w:r>
            <w:r>
              <w:t xml:space="preserve"> </w:t>
            </w:r>
            <w:r w:rsidR="00127837">
              <w:t>n</w:t>
            </w:r>
            <w:r w:rsidR="00127837" w:rsidRPr="006F5834">
              <w:t>o</w:t>
            </w:r>
            <w:r w:rsidRPr="006F5834">
              <w:t>. 513/1991 Col</w:t>
            </w:r>
            <w:r>
              <w:t>l. (Commercial Code) as amended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BA0FDD" w:rsidRDefault="0009451B" w:rsidP="00BA0FDD">
            <w:pPr>
              <w:pStyle w:val="wText"/>
              <w:jc w:val="center"/>
              <w:rPr>
                <w:b/>
              </w:rPr>
            </w:pPr>
            <w:r w:rsidRPr="00BA0FDD">
              <w:rPr>
                <w:b/>
              </w:rPr>
              <w:t>medzi</w:t>
            </w:r>
          </w:p>
        </w:tc>
        <w:tc>
          <w:tcPr>
            <w:tcW w:w="4622" w:type="dxa"/>
          </w:tcPr>
          <w:p w:rsidR="0009451B" w:rsidRPr="00BA0FDD" w:rsidRDefault="0009451B" w:rsidP="00BA0FDD">
            <w:pPr>
              <w:pStyle w:val="wText"/>
              <w:jc w:val="center"/>
              <w:rPr>
                <w:b/>
              </w:rPr>
            </w:pPr>
            <w:r w:rsidRPr="00BA0FDD">
              <w:rPr>
                <w:b/>
              </w:rPr>
              <w:t>between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[●]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so sídlom: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IČO: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IČ DPH: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DIČ: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t>(ďalej len „</w:t>
            </w:r>
            <w:r w:rsidRPr="00070036">
              <w:rPr>
                <w:b/>
              </w:rPr>
              <w:t>Poskytovateľ</w:t>
            </w:r>
            <w:r w:rsidRPr="006F5834">
              <w:t>“</w:t>
            </w:r>
            <w:r>
              <w:t>)</w:t>
            </w:r>
          </w:p>
        </w:tc>
        <w:tc>
          <w:tcPr>
            <w:tcW w:w="4622" w:type="dxa"/>
          </w:tcPr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[●]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seat: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ID no.: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VAT ID:</w:t>
            </w:r>
          </w:p>
          <w:p w:rsidR="0009451B" w:rsidRPr="006F5834" w:rsidRDefault="00060821" w:rsidP="003775BB">
            <w:pPr>
              <w:pStyle w:val="wText"/>
              <w:spacing w:after="0"/>
            </w:pPr>
            <w:r w:rsidRPr="006F5834">
              <w:t>T</w:t>
            </w:r>
            <w:r>
              <w:t>A</w:t>
            </w:r>
            <w:r w:rsidRPr="006F5834">
              <w:t xml:space="preserve">X </w:t>
            </w:r>
            <w:r w:rsidR="0009451B" w:rsidRPr="006F5834">
              <w:t>ID: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t>(hereinafter referred to as the „</w:t>
            </w:r>
            <w:r w:rsidRPr="006F5834">
              <w:rPr>
                <w:b/>
              </w:rPr>
              <w:t>Provider</w:t>
            </w:r>
            <w:r>
              <w:t>”)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070036" w:rsidRDefault="00755E70" w:rsidP="00070036">
            <w:pPr>
              <w:pStyle w:val="wText"/>
              <w:jc w:val="center"/>
              <w:rPr>
                <w:b/>
              </w:rPr>
            </w:pPr>
            <w:r w:rsidRPr="00070036">
              <w:rPr>
                <w:b/>
              </w:rPr>
              <w:t>a</w:t>
            </w:r>
            <w:r>
              <w:rPr>
                <w:b/>
              </w:rPr>
              <w:t> </w:t>
            </w:r>
          </w:p>
        </w:tc>
        <w:tc>
          <w:tcPr>
            <w:tcW w:w="4622" w:type="dxa"/>
          </w:tcPr>
          <w:p w:rsidR="0009451B" w:rsidRPr="00070036" w:rsidRDefault="0009451B" w:rsidP="00070036">
            <w:pPr>
              <w:pStyle w:val="wText"/>
              <w:jc w:val="center"/>
              <w:rPr>
                <w:b/>
                <w:bCs/>
                <w:caps/>
                <w:color w:val="000000"/>
              </w:rPr>
            </w:pPr>
            <w:r w:rsidRPr="00070036">
              <w:rPr>
                <w:b/>
              </w:rPr>
              <w:t>and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[●]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so sídlom: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IČO: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IČ DPH: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t>DIČ: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t>(ďalej len „</w:t>
            </w:r>
            <w:r w:rsidRPr="00070036">
              <w:rPr>
                <w:b/>
              </w:rPr>
              <w:t>Záujemca</w:t>
            </w:r>
            <w:r w:rsidRPr="006F5834">
              <w:t>“ alebo „</w:t>
            </w:r>
            <w:r w:rsidRPr="00070036">
              <w:rPr>
                <w:b/>
              </w:rPr>
              <w:t>Skupina dodávateľov</w:t>
            </w:r>
            <w:r w:rsidRPr="006F5834">
              <w:t>“)</w:t>
            </w:r>
            <w:r w:rsidRPr="006F5834">
              <w:rPr>
                <w:vertAlign w:val="superscript"/>
              </w:rPr>
              <w:footnoteReference w:id="3"/>
            </w:r>
          </w:p>
        </w:tc>
        <w:tc>
          <w:tcPr>
            <w:tcW w:w="4622" w:type="dxa"/>
          </w:tcPr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[●]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seat: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 xml:space="preserve">ID </w:t>
            </w:r>
            <w:r w:rsidR="006D5A6C">
              <w:t>n</w:t>
            </w:r>
            <w:r w:rsidRPr="006F5834">
              <w:t>o.:</w:t>
            </w:r>
          </w:p>
          <w:p w:rsidR="0009451B" w:rsidRPr="006F5834" w:rsidRDefault="0009451B" w:rsidP="003775BB">
            <w:pPr>
              <w:pStyle w:val="wText"/>
              <w:spacing w:after="0"/>
            </w:pPr>
            <w:r w:rsidRPr="006F5834">
              <w:t>VAT ID:</w:t>
            </w:r>
          </w:p>
          <w:p w:rsidR="0009451B" w:rsidRPr="006F5834" w:rsidRDefault="00060821" w:rsidP="000576B7">
            <w:pPr>
              <w:pStyle w:val="wText"/>
            </w:pPr>
            <w:r w:rsidRPr="006F5834">
              <w:t>T</w:t>
            </w:r>
            <w:r>
              <w:t>A</w:t>
            </w:r>
            <w:r w:rsidRPr="006F5834">
              <w:t xml:space="preserve">X </w:t>
            </w:r>
            <w:r w:rsidR="0009451B" w:rsidRPr="006F5834">
              <w:t>ID:</w:t>
            </w:r>
          </w:p>
          <w:p w:rsidR="0009451B" w:rsidRPr="006F5834" w:rsidRDefault="0009451B" w:rsidP="000576B7">
            <w:pPr>
              <w:pStyle w:val="wText"/>
            </w:pPr>
            <w:r w:rsidRPr="006F5834">
              <w:t>(hereinafter referred to as the „</w:t>
            </w:r>
            <w:r w:rsidRPr="006F5834">
              <w:rPr>
                <w:b/>
              </w:rPr>
              <w:t>Candidate</w:t>
            </w:r>
            <w:r w:rsidRPr="006F5834">
              <w:t>” or the „</w:t>
            </w:r>
            <w:r w:rsidRPr="006F5834">
              <w:rPr>
                <w:b/>
              </w:rPr>
              <w:t>Group of suppliers</w:t>
            </w:r>
            <w:r w:rsidRPr="006F5834">
              <w:t>”)</w:t>
            </w:r>
            <w:r w:rsidRPr="006F5834">
              <w:rPr>
                <w:vertAlign w:val="superscript"/>
              </w:rPr>
              <w:footnoteReference w:id="4"/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070036" w:rsidRDefault="00133E7B" w:rsidP="00133E7B">
            <w:pPr>
              <w:pStyle w:val="wLeftB"/>
            </w:pPr>
            <w:r w:rsidRPr="00070036">
              <w:t>Preambula</w:t>
            </w:r>
          </w:p>
        </w:tc>
        <w:tc>
          <w:tcPr>
            <w:tcW w:w="4622" w:type="dxa"/>
          </w:tcPr>
          <w:p w:rsidR="0009451B" w:rsidRPr="00070036" w:rsidRDefault="00133E7B" w:rsidP="00133E7B">
            <w:pPr>
              <w:pStyle w:val="wLeftB"/>
            </w:pPr>
            <w:r w:rsidRPr="00070036">
              <w:t>Preamble</w:t>
            </w:r>
          </w:p>
        </w:tc>
      </w:tr>
      <w:tr w:rsidR="00070036" w:rsidRPr="006F5834" w:rsidTr="003A4D9A">
        <w:tc>
          <w:tcPr>
            <w:tcW w:w="4621" w:type="dxa"/>
          </w:tcPr>
          <w:p w:rsidR="00070036" w:rsidRPr="006F5834" w:rsidRDefault="00070036" w:rsidP="00070036">
            <w:pPr>
              <w:pStyle w:val="Recitals"/>
            </w:pPr>
            <w:r w:rsidRPr="006F5834">
              <w:t xml:space="preserve">Záujemca/Skupina dodávateľov sa plánuje zúčastniť verejného obstarávania na predmet zákazky </w:t>
            </w:r>
            <w:r w:rsidRPr="003A4D9A">
              <w:rPr>
                <w:b/>
                <w:i/>
              </w:rPr>
              <w:t xml:space="preserve">„Koncesia na projektovanie, výstavbu, financovanie, prevádzku </w:t>
            </w:r>
            <w:r w:rsidR="00755E70" w:rsidRPr="003A4D9A">
              <w:rPr>
                <w:b/>
                <w:i/>
              </w:rPr>
              <w:t>a </w:t>
            </w:r>
            <w:r w:rsidRPr="003A4D9A">
              <w:rPr>
                <w:b/>
                <w:i/>
              </w:rPr>
              <w:t>údržbu úsekov</w:t>
            </w:r>
            <w:r w:rsidR="00755E70" w:rsidRPr="003A4D9A">
              <w:rPr>
                <w:b/>
                <w:i/>
              </w:rPr>
              <w:t xml:space="preserve"> </w:t>
            </w:r>
            <w:r w:rsidRPr="003A4D9A">
              <w:rPr>
                <w:b/>
                <w:i/>
              </w:rPr>
              <w:t xml:space="preserve">diaľnice D4 Jarovce – Rača </w:t>
            </w:r>
            <w:r w:rsidR="00755E70" w:rsidRPr="003A4D9A">
              <w:rPr>
                <w:b/>
                <w:i/>
              </w:rPr>
              <w:t>a </w:t>
            </w:r>
            <w:r w:rsidRPr="003A4D9A">
              <w:rPr>
                <w:b/>
                <w:i/>
              </w:rPr>
              <w:t>rýchlostnej cesty R7</w:t>
            </w:r>
            <w:r w:rsidR="00060821">
              <w:rPr>
                <w:b/>
                <w:i/>
              </w:rPr>
              <w:t xml:space="preserve"> Bratislava</w:t>
            </w:r>
            <w:r w:rsidRPr="003A4D9A">
              <w:rPr>
                <w:b/>
                <w:i/>
              </w:rPr>
              <w:t xml:space="preserve"> Prievoz – Holice, projekt PPP“</w:t>
            </w:r>
            <w:r w:rsidRPr="006F5834">
              <w:t xml:space="preserve"> vyhlásenej na základe oznámenia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vyhlásení verejného obstarávania zverejneného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Úradnému vestníku Európskej únie [●] zo dňa [●]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[●] zo dňa [●], (ďalej len „Oznámenie“) verejným obstarávateľom, ktorým je Slovenská republika zastúpená Ministerstvom dopravy, výstavby </w:t>
            </w:r>
            <w:r w:rsidR="00755E70" w:rsidRPr="006F5834">
              <w:lastRenderedPageBreak/>
              <w:t>a</w:t>
            </w:r>
            <w:r w:rsidR="00755E70">
              <w:t> </w:t>
            </w:r>
            <w:r w:rsidRPr="006F5834">
              <w:t xml:space="preserve">regionálneho rozvoja Slovenskej republiky, so sídlom Námestie slobody </w:t>
            </w:r>
            <w:r w:rsidR="00F141BF">
              <w:t>č.</w:t>
            </w:r>
            <w:r w:rsidRPr="006F5834">
              <w:t xml:space="preserve">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>BOX 100, 810 05 Bratislava, Slovenská republika (ďalej len „Verejné obstarávanie“).</w:t>
            </w:r>
          </w:p>
        </w:tc>
        <w:tc>
          <w:tcPr>
            <w:tcW w:w="4622" w:type="dxa"/>
          </w:tcPr>
          <w:p w:rsidR="00070036" w:rsidRPr="006F5834" w:rsidRDefault="00070036" w:rsidP="00127837">
            <w:pPr>
              <w:pStyle w:val="wList1"/>
            </w:pPr>
            <w:r w:rsidRPr="006F5834">
              <w:lastRenderedPageBreak/>
              <w:t xml:space="preserve">The candidate/The group of suppliers intend to participate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3A4D9A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060821">
              <w:rPr>
                <w:b/>
                <w:i/>
              </w:rPr>
              <w:t xml:space="preserve">Bratislava </w:t>
            </w:r>
            <w:r w:rsidRPr="003A4D9A">
              <w:rPr>
                <w:b/>
                <w:i/>
              </w:rPr>
              <w:t xml:space="preserve">Prievoz – Holice sections of the R7 expressway, </w:t>
            </w:r>
            <w:r w:rsidR="00755E70" w:rsidRPr="003A4D9A">
              <w:rPr>
                <w:b/>
                <w:i/>
              </w:rPr>
              <w:t>a </w:t>
            </w:r>
            <w:r w:rsidRPr="003A4D9A">
              <w:rPr>
                <w:b/>
                <w:i/>
              </w:rPr>
              <w:t>PPP Project”</w:t>
            </w:r>
            <w:r w:rsidRPr="006F5834">
              <w:t xml:space="preserve"> according to the tender notice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6D5A6C">
              <w:t>n</w:t>
            </w:r>
            <w:r w:rsidR="006D5A6C" w:rsidRPr="006F5834">
              <w:t>o</w:t>
            </w:r>
            <w:r w:rsidRPr="006F5834">
              <w:t xml:space="preserve">. [●] on [●] 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6D5A6C">
              <w:rPr>
                <w:color w:val="000000"/>
              </w:rPr>
              <w:t>n</w:t>
            </w:r>
            <w:r w:rsidR="006D5A6C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[●] on [●], (</w:t>
            </w:r>
            <w:r w:rsidRPr="006F5834">
              <w:rPr>
                <w:color w:val="000000"/>
              </w:rPr>
              <w:t>hereinafter referred to as the „Tender Notice</w:t>
            </w:r>
            <w:r w:rsidRPr="006F5834">
              <w:t xml:space="preserve">”) announced by the </w:t>
            </w:r>
            <w:r w:rsidR="00127837">
              <w:t>c</w:t>
            </w:r>
            <w:r w:rsidR="00127837" w:rsidRPr="006F5834">
              <w:t xml:space="preserve">ontracting </w:t>
            </w:r>
            <w:r w:rsidR="00127837">
              <w:t>a</w:t>
            </w:r>
            <w:r w:rsidR="00127837" w:rsidRPr="006F5834">
              <w:t xml:space="preserve">uthority </w:t>
            </w:r>
            <w:r w:rsidRPr="006F5834">
              <w:t xml:space="preserve">which is the Slovak </w:t>
            </w:r>
            <w:r w:rsidRPr="006F5834">
              <w:lastRenderedPageBreak/>
              <w:t>Republic represented by Ministry of Transport, Construction and Regional Development of the Slovak Republic</w:t>
            </w:r>
            <w:r w:rsidRPr="006F5834">
              <w:rPr>
                <w:color w:val="000000"/>
              </w:rPr>
              <w:t xml:space="preserve">, </w:t>
            </w:r>
            <w:r w:rsidRPr="006F5834">
              <w:t xml:space="preserve">Námestie slobody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Slovak Republic </w:t>
            </w:r>
            <w:r w:rsidRPr="006F5834">
              <w:rPr>
                <w:color w:val="000000"/>
              </w:rPr>
              <w:t>(hereinafter referred to as the ”Public Procurement”).</w:t>
            </w:r>
          </w:p>
        </w:tc>
      </w:tr>
      <w:tr w:rsidR="00070036" w:rsidRPr="006F5834" w:rsidTr="003A4D9A">
        <w:tc>
          <w:tcPr>
            <w:tcW w:w="4621" w:type="dxa"/>
          </w:tcPr>
          <w:p w:rsidR="00070036" w:rsidRPr="006F5834" w:rsidRDefault="00070036" w:rsidP="00127837">
            <w:pPr>
              <w:pStyle w:val="Recitals"/>
            </w:pPr>
            <w:r w:rsidRPr="006F5834">
              <w:lastRenderedPageBreak/>
              <w:t xml:space="preserve">Záujemca/Skupina dodávateľov má záujem touto zmluvou preukázať splnenie podmienok </w:t>
            </w:r>
            <w:r w:rsidRPr="006F5834">
              <w:rPr>
                <w:i/>
              </w:rPr>
              <w:t xml:space="preserve">finančného </w:t>
            </w:r>
            <w:r w:rsidR="00755E70" w:rsidRPr="006F5834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6F5834">
              <w:rPr>
                <w:i/>
              </w:rPr>
              <w:t>ekonomického postavenia</w:t>
            </w:r>
            <w:r w:rsidRPr="006F5834">
              <w:t>/</w:t>
            </w:r>
            <w:r w:rsidRPr="006F5834">
              <w:rPr>
                <w:i/>
              </w:rPr>
              <w:t>technickej spôsobilosti</w:t>
            </w:r>
            <w:r w:rsidRPr="006F5834">
              <w:rPr>
                <w:vertAlign w:val="superscript"/>
              </w:rPr>
              <w:footnoteReference w:id="5"/>
            </w:r>
            <w:r w:rsidRPr="006F5834">
              <w:t xml:space="preserve"> ustanovených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časti </w:t>
            </w:r>
            <w:r w:rsidR="00127837">
              <w:t>III.1.2/III.1.3</w:t>
            </w:r>
            <w:r w:rsidR="00127837" w:rsidRPr="006F5834">
              <w:t xml:space="preserve"> </w:t>
            </w:r>
            <w:r w:rsidRPr="006F5834">
              <w:t xml:space="preserve">Oznámenia – preukázanie toho, že </w:t>
            </w:r>
            <w:r w:rsidRPr="006F5834">
              <w:rPr>
                <w:i/>
              </w:rPr>
              <w:t>disponuje finančnými zdrojmi</w:t>
            </w:r>
            <w:r w:rsidRPr="006F5834">
              <w:t>/</w:t>
            </w:r>
            <w:r w:rsidRPr="006F5834">
              <w:rPr>
                <w:i/>
              </w:rPr>
              <w:t>požadovanými</w:t>
            </w:r>
            <w:r w:rsidR="00591361">
              <w:rPr>
                <w:i/>
              </w:rPr>
              <w:t>/</w:t>
            </w:r>
            <w:r w:rsidRPr="006F5834">
              <w:rPr>
                <w:i/>
              </w:rPr>
              <w:t xml:space="preserve"> </w:t>
            </w:r>
            <w:r w:rsidR="00591361">
              <w:rPr>
                <w:i/>
              </w:rPr>
              <w:t>potvrdeniami odberateľov/</w:t>
            </w:r>
            <w:r w:rsidR="002473C1">
              <w:rPr>
                <w:i/>
              </w:rPr>
              <w:t xml:space="preserve"> </w:t>
            </w:r>
            <w:r w:rsidRPr="006F5834">
              <w:rPr>
                <w:i/>
              </w:rPr>
              <w:t>referenciami</w:t>
            </w:r>
            <w:r w:rsidRPr="006F5834">
              <w:rPr>
                <w:i/>
                <w:vertAlign w:val="superscript"/>
              </w:rPr>
              <w:footnoteReference w:id="6"/>
            </w:r>
            <w:r w:rsidRPr="006F5834">
              <w:t xml:space="preserve"> podľa Oznámenia prostredníctvom Poskytovateľa (ďalej len </w:t>
            </w:r>
            <w:r w:rsidRPr="006F5834">
              <w:rPr>
                <w:i/>
              </w:rPr>
              <w:t>„Potrebné finančné zdroje</w:t>
            </w:r>
            <w:r w:rsidRPr="006F5834">
              <w:t>“</w:t>
            </w:r>
            <w:r w:rsidR="00F141BF">
              <w:t>/</w:t>
            </w:r>
            <w:r w:rsidR="00730EFD" w:rsidRPr="006F5834" w:rsidDel="00730EFD">
              <w:t xml:space="preserve"> </w:t>
            </w:r>
            <w:r w:rsidR="00730EFD" w:rsidRPr="006F5834">
              <w:rPr>
                <w:i/>
              </w:rPr>
              <w:t>„</w:t>
            </w:r>
            <w:r w:rsidRPr="006F5834">
              <w:rPr>
                <w:i/>
              </w:rPr>
              <w:t>Potrebná referencia</w:t>
            </w:r>
            <w:r w:rsidRPr="006F5834">
              <w:t>“).</w:t>
            </w:r>
          </w:p>
        </w:tc>
        <w:tc>
          <w:tcPr>
            <w:tcW w:w="4622" w:type="dxa"/>
          </w:tcPr>
          <w:p w:rsidR="00070036" w:rsidRPr="006F5834" w:rsidRDefault="00070036" w:rsidP="00BF18BA">
            <w:pPr>
              <w:pStyle w:val="wList1"/>
            </w:pPr>
            <w:r w:rsidRPr="006F5834">
              <w:t>The candidate/</w:t>
            </w:r>
            <w:r w:rsidR="00A16827">
              <w:t xml:space="preserve">The </w:t>
            </w:r>
            <w:r w:rsidRPr="006F5834">
              <w:t xml:space="preserve">group of suppliers is interested in demonstrating by this contract the fulfilment of the conditions of </w:t>
            </w:r>
            <w:r w:rsidRPr="006F5834">
              <w:rPr>
                <w:i/>
              </w:rPr>
              <w:t xml:space="preserve">financial and economic standing/ technical </w:t>
            </w:r>
            <w:r w:rsidR="00BF18BA">
              <w:rPr>
                <w:i/>
              </w:rPr>
              <w:t>capacity</w:t>
            </w:r>
            <w:r w:rsidRPr="006F5834">
              <w:rPr>
                <w:vertAlign w:val="superscript"/>
              </w:rPr>
              <w:footnoteReference w:id="7"/>
            </w:r>
            <w:r w:rsidRPr="006F5834">
              <w:t xml:space="preserve"> referred to in </w:t>
            </w:r>
            <w:r w:rsidR="00127837">
              <w:t>III.1.2/III.1.3</w:t>
            </w:r>
            <w:r w:rsidR="00127837" w:rsidRPr="006F5834">
              <w:t xml:space="preserve"> </w:t>
            </w:r>
            <w:r w:rsidRPr="006F5834">
              <w:t xml:space="preserve"> of the Tender Notice – proof of </w:t>
            </w:r>
            <w:r w:rsidRPr="006F5834">
              <w:rPr>
                <w:i/>
              </w:rPr>
              <w:t>financial resources/</w:t>
            </w:r>
            <w:r w:rsidR="00591361">
              <w:rPr>
                <w:i/>
              </w:rPr>
              <w:t>customer confirmations/</w:t>
            </w:r>
            <w:r w:rsidRPr="006F5834">
              <w:rPr>
                <w:i/>
              </w:rPr>
              <w:t>required references</w:t>
            </w:r>
            <w:r w:rsidRPr="006F5834">
              <w:rPr>
                <w:i/>
                <w:vertAlign w:val="superscript"/>
              </w:rPr>
              <w:footnoteReference w:id="8"/>
            </w:r>
            <w:r w:rsidRPr="006F5834">
              <w:t xml:space="preserve"> according to the Tender Notice by means of the Provider </w:t>
            </w:r>
            <w:r w:rsidRPr="006F5834">
              <w:rPr>
                <w:color w:val="000000"/>
              </w:rPr>
              <w:t xml:space="preserve">(hereinafter referred to as the </w:t>
            </w:r>
            <w:r w:rsidRPr="006F5834">
              <w:rPr>
                <w:i/>
              </w:rPr>
              <w:t>„The required financial resources”/ „The required reference”</w:t>
            </w:r>
            <w:r w:rsidRPr="006F5834">
              <w:t>).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070036" w:rsidRDefault="0009451B" w:rsidP="00133E7B">
            <w:pPr>
              <w:pStyle w:val="Schedule1"/>
            </w:pPr>
            <w:r w:rsidRPr="00133E7B">
              <w:t>Záväzok Poskytovateľa</w:t>
            </w:r>
          </w:p>
        </w:tc>
        <w:tc>
          <w:tcPr>
            <w:tcW w:w="4622" w:type="dxa"/>
          </w:tcPr>
          <w:p w:rsidR="0009451B" w:rsidRPr="00070036" w:rsidRDefault="00133E7B" w:rsidP="00133E7B">
            <w:pPr>
              <w:pStyle w:val="Appendix1"/>
            </w:pPr>
            <w:r w:rsidRPr="00133E7B">
              <w:t>O</w:t>
            </w:r>
            <w:r w:rsidR="0009451B" w:rsidRPr="00133E7B">
              <w:t>bligation</w:t>
            </w:r>
            <w:r w:rsidRPr="00133E7B">
              <w:t xml:space="preserve"> of the P</w:t>
            </w:r>
            <w:r w:rsidR="0009451B" w:rsidRPr="00133E7B">
              <w:t>rovider</w:t>
            </w:r>
          </w:p>
        </w:tc>
      </w:tr>
      <w:tr w:rsidR="00070036" w:rsidRPr="006F5834" w:rsidTr="003A4D9A">
        <w:tc>
          <w:tcPr>
            <w:tcW w:w="4621" w:type="dxa"/>
          </w:tcPr>
          <w:p w:rsidR="00070036" w:rsidRPr="006F5834" w:rsidRDefault="00070036" w:rsidP="000576B7">
            <w:pPr>
              <w:pStyle w:val="Schedule2"/>
            </w:pPr>
            <w:r w:rsidRPr="00133E7B">
              <w:t xml:space="preserve">Poskytovateľ sa zaväzuje, že Záujemcovi/Skupine dodávateľov poskytne </w:t>
            </w:r>
            <w:r w:rsidRPr="003A4D9A">
              <w:rPr>
                <w:i/>
              </w:rPr>
              <w:t xml:space="preserve">finančné zdroje podľa § 27 ods. </w:t>
            </w:r>
            <w:r w:rsidR="00755E70" w:rsidRPr="003A4D9A">
              <w:rPr>
                <w:i/>
              </w:rPr>
              <w:t>2 </w:t>
            </w:r>
            <w:r w:rsidRPr="003A4D9A">
              <w:rPr>
                <w:i/>
              </w:rPr>
              <w:t xml:space="preserve">zákona </w:t>
            </w:r>
            <w:r w:rsidR="00F141BF" w:rsidRPr="003A4D9A">
              <w:rPr>
                <w:i/>
              </w:rPr>
              <w:t>č.</w:t>
            </w:r>
            <w:r w:rsidRPr="003A4D9A">
              <w:rPr>
                <w:i/>
              </w:rPr>
              <w:t xml:space="preserve"> 25/2006 </w:t>
            </w:r>
            <w:r w:rsidR="00755E70" w:rsidRPr="003A4D9A">
              <w:rPr>
                <w:i/>
              </w:rPr>
              <w:t>Z</w:t>
            </w:r>
            <w:r w:rsidR="00445C79" w:rsidRPr="003A4D9A">
              <w:rPr>
                <w:i/>
              </w:rPr>
              <w:t>.</w:t>
            </w:r>
            <w:r w:rsidRPr="003A4D9A">
              <w:rPr>
                <w:i/>
              </w:rPr>
              <w:t xml:space="preserve"> </w:t>
            </w:r>
            <w:r w:rsidR="00755E70" w:rsidRPr="003A4D9A">
              <w:rPr>
                <w:i/>
              </w:rPr>
              <w:t>z</w:t>
            </w:r>
            <w:r w:rsidR="00445C79" w:rsidRPr="003A4D9A">
              <w:rPr>
                <w:i/>
              </w:rPr>
              <w:t>.</w:t>
            </w:r>
            <w:r w:rsidRPr="003A4D9A">
              <w:rPr>
                <w:i/>
              </w:rPr>
              <w:t xml:space="preserve"> </w:t>
            </w:r>
            <w:r w:rsidR="00755E70" w:rsidRPr="003A4D9A">
              <w:rPr>
                <w:i/>
              </w:rPr>
              <w:t>o </w:t>
            </w:r>
            <w:r w:rsidRPr="003A4D9A">
              <w:rPr>
                <w:i/>
              </w:rPr>
              <w:t xml:space="preserve">verejnom obstarávaní </w:t>
            </w:r>
            <w:r w:rsidR="00755E70" w:rsidRPr="003A4D9A">
              <w:rPr>
                <w:i/>
              </w:rPr>
              <w:t>a o </w:t>
            </w:r>
            <w:r w:rsidRPr="003A4D9A">
              <w:rPr>
                <w:i/>
              </w:rPr>
              <w:t xml:space="preserve">zmene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 xml:space="preserve">doplnení niektorých zákonov </w:t>
            </w:r>
            <w:r w:rsidR="00755E70" w:rsidRPr="003A4D9A">
              <w:rPr>
                <w:i/>
              </w:rPr>
              <w:t>v </w:t>
            </w:r>
            <w:r w:rsidRPr="003A4D9A">
              <w:rPr>
                <w:i/>
              </w:rPr>
              <w:t>znení neskorších predpisov</w:t>
            </w:r>
            <w:r w:rsidR="00F141BF" w:rsidRPr="003A4D9A">
              <w:rPr>
                <w:i/>
              </w:rPr>
              <w:t>/</w:t>
            </w:r>
            <w:r w:rsidRPr="003A4D9A">
              <w:rPr>
                <w:i/>
              </w:rPr>
              <w:t xml:space="preserve"> technické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 xml:space="preserve">odborné kapacity podľa § 28 ods. </w:t>
            </w:r>
            <w:r w:rsidR="00755E70" w:rsidRPr="003A4D9A">
              <w:rPr>
                <w:i/>
              </w:rPr>
              <w:t>2 </w:t>
            </w:r>
            <w:r w:rsidRPr="003A4D9A">
              <w:rPr>
                <w:i/>
              </w:rPr>
              <w:t xml:space="preserve">zákona </w:t>
            </w:r>
            <w:r w:rsidR="00F141BF" w:rsidRPr="003A4D9A">
              <w:rPr>
                <w:i/>
              </w:rPr>
              <w:t>č.</w:t>
            </w:r>
            <w:r w:rsidRPr="003A4D9A">
              <w:rPr>
                <w:i/>
              </w:rPr>
              <w:t xml:space="preserve"> 25/2006 </w:t>
            </w:r>
            <w:r w:rsidR="00755E70" w:rsidRPr="003A4D9A">
              <w:rPr>
                <w:i/>
              </w:rPr>
              <w:t>Z</w:t>
            </w:r>
            <w:r w:rsidR="00445C79" w:rsidRPr="003A4D9A">
              <w:rPr>
                <w:i/>
              </w:rPr>
              <w:t>.</w:t>
            </w:r>
            <w:r w:rsidRPr="003A4D9A">
              <w:rPr>
                <w:i/>
              </w:rPr>
              <w:t xml:space="preserve"> </w:t>
            </w:r>
            <w:r w:rsidR="00755E70" w:rsidRPr="003A4D9A">
              <w:rPr>
                <w:i/>
              </w:rPr>
              <w:t>z</w:t>
            </w:r>
            <w:r w:rsidR="00445C79" w:rsidRPr="003A4D9A">
              <w:rPr>
                <w:i/>
              </w:rPr>
              <w:t>.</w:t>
            </w:r>
            <w:r w:rsidRPr="003A4D9A">
              <w:rPr>
                <w:i/>
              </w:rPr>
              <w:t xml:space="preserve"> </w:t>
            </w:r>
            <w:r w:rsidR="00755E70" w:rsidRPr="003A4D9A">
              <w:rPr>
                <w:i/>
              </w:rPr>
              <w:t>o </w:t>
            </w:r>
            <w:r w:rsidRPr="003A4D9A">
              <w:rPr>
                <w:i/>
              </w:rPr>
              <w:t xml:space="preserve">verejnom obstarávaní </w:t>
            </w:r>
            <w:r w:rsidR="00755E70" w:rsidRPr="003A4D9A">
              <w:rPr>
                <w:i/>
              </w:rPr>
              <w:t>a o </w:t>
            </w:r>
            <w:r w:rsidRPr="003A4D9A">
              <w:rPr>
                <w:i/>
              </w:rPr>
              <w:t xml:space="preserve">zmene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 xml:space="preserve">doplnení niektorých zákonov </w:t>
            </w:r>
            <w:r w:rsidR="00755E70" w:rsidRPr="003A4D9A">
              <w:rPr>
                <w:i/>
              </w:rPr>
              <w:t>v </w:t>
            </w:r>
            <w:r w:rsidRPr="003A4D9A">
              <w:rPr>
                <w:i/>
              </w:rPr>
              <w:t>znení neskorších predpisov</w:t>
            </w:r>
            <w:r w:rsidRPr="003A4D9A">
              <w:rPr>
                <w:i/>
                <w:vertAlign w:val="superscript"/>
              </w:rPr>
              <w:footnoteReference w:id="9"/>
            </w:r>
            <w:r w:rsidRPr="003A4D9A">
              <w:rPr>
                <w:i/>
              </w:rPr>
              <w:t xml:space="preserve"> pri poskytovaní služieb/stavebných prác</w:t>
            </w:r>
            <w:r w:rsidRPr="00133E7B">
              <w:t xml:space="preserve"> vo Verejnom obstarávaní, </w:t>
            </w:r>
            <w:r w:rsidR="00755E70" w:rsidRPr="00133E7B">
              <w:t>a</w:t>
            </w:r>
            <w:r w:rsidR="00755E70">
              <w:t> </w:t>
            </w:r>
            <w:r w:rsidRPr="00133E7B">
              <w:t xml:space="preserve">to pre účely preukázania </w:t>
            </w:r>
            <w:r w:rsidRPr="003A4D9A">
              <w:rPr>
                <w:i/>
              </w:rPr>
              <w:t xml:space="preserve">finančného </w:t>
            </w:r>
            <w:r w:rsidR="00755E70" w:rsidRPr="003A4D9A">
              <w:rPr>
                <w:i/>
              </w:rPr>
              <w:t>a </w:t>
            </w:r>
            <w:r w:rsidRPr="003A4D9A">
              <w:rPr>
                <w:i/>
              </w:rPr>
              <w:t>ekonomického postavenia</w:t>
            </w:r>
            <w:r w:rsidR="00F141BF" w:rsidRPr="003A4D9A">
              <w:rPr>
                <w:i/>
              </w:rPr>
              <w:t>/</w:t>
            </w:r>
            <w:r w:rsidRPr="003A4D9A">
              <w:rPr>
                <w:i/>
              </w:rPr>
              <w:t xml:space="preserve"> technickej spôsobilosti</w:t>
            </w:r>
            <w:r w:rsidRPr="00133E7B">
              <w:rPr>
                <w:vertAlign w:val="superscript"/>
              </w:rPr>
              <w:footnoteReference w:id="10"/>
            </w:r>
            <w:r w:rsidRPr="00133E7B">
              <w:t xml:space="preserve"> Záujemcu/Skupiny dodávateľov </w:t>
            </w:r>
            <w:r w:rsidR="00755E70" w:rsidRPr="00133E7B">
              <w:t>v</w:t>
            </w:r>
            <w:r w:rsidR="00755E70">
              <w:t> </w:t>
            </w:r>
            <w:r w:rsidRPr="00133E7B">
              <w:t xml:space="preserve">rámci Verejného obstarávania prostredníctvom </w:t>
            </w:r>
            <w:r w:rsidRPr="003A4D9A">
              <w:rPr>
                <w:i/>
              </w:rPr>
              <w:t>Potrebných finančných zdrojov/Potrebnej referencie</w:t>
            </w:r>
            <w:r w:rsidR="003A4D9A">
              <w:t>.</w:t>
            </w:r>
            <w:r w:rsidRPr="00133E7B">
              <w:rPr>
                <w:vertAlign w:val="superscript"/>
              </w:rPr>
              <w:footnoteReference w:id="11"/>
            </w:r>
            <w:r w:rsidRPr="00133E7B">
              <w:t>.</w:t>
            </w:r>
          </w:p>
        </w:tc>
        <w:tc>
          <w:tcPr>
            <w:tcW w:w="4622" w:type="dxa"/>
          </w:tcPr>
          <w:p w:rsidR="00070036" w:rsidRPr="006F5834" w:rsidRDefault="00070036" w:rsidP="00BF18BA">
            <w:pPr>
              <w:pStyle w:val="Appendix2"/>
            </w:pPr>
            <w:r w:rsidRPr="00133E7B">
              <w:t xml:space="preserve">The Provider undertakes to provide the Candidate/Group of suppliers with the </w:t>
            </w:r>
            <w:r w:rsidRPr="003A4D9A">
              <w:rPr>
                <w:i/>
              </w:rPr>
              <w:t>financial resources pursuant to section 27 subsection (</w:t>
            </w:r>
            <w:r w:rsidR="00755E70" w:rsidRPr="003A4D9A">
              <w:rPr>
                <w:i/>
              </w:rPr>
              <w:t>2 </w:t>
            </w:r>
            <w:r w:rsidRPr="003A4D9A">
              <w:rPr>
                <w:i/>
              </w:rPr>
              <w:t>) of Act No. 25/2006 Coll. on Public Procurement, as amended</w:t>
            </w:r>
            <w:r w:rsidR="00F141BF" w:rsidRPr="003A4D9A">
              <w:rPr>
                <w:i/>
              </w:rPr>
              <w:t>/</w:t>
            </w:r>
            <w:r w:rsidRPr="003A4D9A">
              <w:rPr>
                <w:i/>
              </w:rPr>
              <w:t>technical and expert capability pursuant to section 28 subsection (</w:t>
            </w:r>
            <w:r w:rsidR="00755E70" w:rsidRPr="003A4D9A">
              <w:rPr>
                <w:i/>
              </w:rPr>
              <w:t>2 </w:t>
            </w:r>
            <w:r w:rsidRPr="003A4D9A">
              <w:rPr>
                <w:i/>
              </w:rPr>
              <w:t>) of Act No. 25/2006 Coll. on Public Procurement, as amended</w:t>
            </w:r>
            <w:r w:rsidRPr="00F34FD7">
              <w:rPr>
                <w:rFonts w:cs="Calibri"/>
                <w:i/>
                <w:vertAlign w:val="superscript"/>
              </w:rPr>
              <w:footnoteReference w:id="12"/>
            </w:r>
            <w:r w:rsidRPr="00F34FD7">
              <w:rPr>
                <w:i/>
              </w:rPr>
              <w:t>, by providing services/construction work</w:t>
            </w:r>
            <w:r w:rsidRPr="00133E7B">
              <w:t xml:space="preserve"> in the Public Procurement for the purpose of demonstrating the </w:t>
            </w:r>
            <w:r w:rsidRPr="003A4D9A">
              <w:rPr>
                <w:i/>
              </w:rPr>
              <w:t xml:space="preserve">financial and economic standing/technical </w:t>
            </w:r>
            <w:r w:rsidR="00BF18BA">
              <w:rPr>
                <w:i/>
              </w:rPr>
              <w:t>capacity</w:t>
            </w:r>
            <w:r w:rsidRPr="00133E7B">
              <w:rPr>
                <w:rFonts w:cs="Calibri"/>
                <w:vertAlign w:val="superscript"/>
              </w:rPr>
              <w:footnoteReference w:id="13"/>
            </w:r>
            <w:r w:rsidRPr="00133E7B">
              <w:t xml:space="preserve"> of the Candidate/Group of suppliers in the process of the Public Procurement by means of the </w:t>
            </w:r>
            <w:r w:rsidRPr="003A4D9A">
              <w:rPr>
                <w:i/>
              </w:rPr>
              <w:t>Required financial resources / Required reference.</w:t>
            </w:r>
            <w:r w:rsidRPr="00133E7B">
              <w:rPr>
                <w:vertAlign w:val="superscript"/>
              </w:rPr>
              <w:footnoteReference w:id="14"/>
            </w:r>
          </w:p>
        </w:tc>
      </w:tr>
      <w:tr w:rsidR="00133E7B" w:rsidRPr="006F5834" w:rsidTr="003A4D9A">
        <w:tc>
          <w:tcPr>
            <w:tcW w:w="4621" w:type="dxa"/>
          </w:tcPr>
          <w:p w:rsidR="00133E7B" w:rsidRPr="006F5834" w:rsidRDefault="00133E7B" w:rsidP="00133E7B">
            <w:pPr>
              <w:pStyle w:val="Schedule2"/>
            </w:pPr>
            <w:r w:rsidRPr="006F5834">
              <w:t xml:space="preserve">Záväzok Poskytovateľa poskytovať </w:t>
            </w:r>
            <w:r w:rsidRPr="006F5834">
              <w:rPr>
                <w:i/>
              </w:rPr>
              <w:lastRenderedPageBreak/>
              <w:t>finančné zdroje</w:t>
            </w:r>
            <w:r w:rsidRPr="006F5834">
              <w:t>/</w:t>
            </w:r>
            <w:r w:rsidRPr="006F5834">
              <w:rPr>
                <w:i/>
              </w:rPr>
              <w:t xml:space="preserve">technické </w:t>
            </w:r>
            <w:r w:rsidR="00755E70" w:rsidRPr="006F5834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6F5834">
              <w:rPr>
                <w:i/>
              </w:rPr>
              <w:t>odborné kapacity</w:t>
            </w:r>
            <w:r w:rsidRPr="006F5834">
              <w:rPr>
                <w:i/>
                <w:vertAlign w:val="superscript"/>
              </w:rPr>
              <w:footnoteReference w:id="15"/>
            </w:r>
            <w:r w:rsidRPr="006F5834">
              <w:t xml:space="preserve"> podľa bodu </w:t>
            </w:r>
            <w:r w:rsidR="00755E70" w:rsidRPr="006F5834">
              <w:t>I</w:t>
            </w:r>
            <w:r w:rsidR="00445C79">
              <w:t>.</w:t>
            </w:r>
            <w:r w:rsidR="00755E70" w:rsidRPr="006F5834">
              <w:t>I</w:t>
            </w:r>
            <w:r w:rsidR="00755E70">
              <w:t> </w:t>
            </w:r>
            <w:r w:rsidRPr="006F5834">
              <w:t xml:space="preserve">vyššie je platný pre plnenie počas celého trvania zmluvného vzťahu, ktorý bude uzatvorený medzi Záujemcom/Skupinou dodávateľov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Slovenskou republikou zastúpenou Ministerstvom dopravy, výstavby </w:t>
            </w:r>
            <w:r w:rsidR="00755E70" w:rsidRPr="006F5834">
              <w:t>a</w:t>
            </w:r>
            <w:r w:rsidR="00755E70">
              <w:t> </w:t>
            </w:r>
            <w:r w:rsidRPr="006F5834">
              <w:t>regionálneho rozvoja Slovenskej republiky na základe Verejného obstarávania.</w:t>
            </w:r>
          </w:p>
        </w:tc>
        <w:tc>
          <w:tcPr>
            <w:tcW w:w="4622" w:type="dxa"/>
          </w:tcPr>
          <w:p w:rsidR="00133E7B" w:rsidRPr="00133E7B" w:rsidRDefault="00133E7B" w:rsidP="00783F8A">
            <w:pPr>
              <w:pStyle w:val="Appendix2"/>
            </w:pPr>
            <w:r w:rsidRPr="006F5834">
              <w:lastRenderedPageBreak/>
              <w:t xml:space="preserve">The commitment of the Provider to </w:t>
            </w:r>
            <w:r w:rsidRPr="006F5834">
              <w:lastRenderedPageBreak/>
              <w:t xml:space="preserve">provide </w:t>
            </w:r>
            <w:r w:rsidRPr="006F5834">
              <w:rPr>
                <w:i/>
              </w:rPr>
              <w:t>financial resources/technical and expert capability</w:t>
            </w:r>
            <w:r w:rsidRPr="006F5834">
              <w:rPr>
                <w:i/>
                <w:vertAlign w:val="superscript"/>
              </w:rPr>
              <w:footnoteReference w:id="16"/>
            </w:r>
            <w:r w:rsidRPr="006F5834">
              <w:rPr>
                <w:i/>
              </w:rPr>
              <w:t xml:space="preserve"> </w:t>
            </w:r>
            <w:r w:rsidRPr="006F5834">
              <w:t xml:space="preserve">according to point </w:t>
            </w:r>
            <w:r w:rsidR="00755E70" w:rsidRPr="006F5834">
              <w:t>I</w:t>
            </w:r>
            <w:r w:rsidR="00445C79">
              <w:t>.</w:t>
            </w:r>
            <w:r w:rsidR="00755E70" w:rsidRPr="006F5834">
              <w:t>I</w:t>
            </w:r>
            <w:r w:rsidR="00755E70">
              <w:t> </w:t>
            </w:r>
            <w:r w:rsidRPr="006F5834">
              <w:t>above is valid for the entire duration of the contractual relationship</w:t>
            </w:r>
            <w:r w:rsidRPr="006F5834">
              <w:rPr>
                <w:color w:val="000000"/>
              </w:rPr>
              <w:t xml:space="preserve"> which will be concluded between the Candidate/Group of suppliers and </w:t>
            </w:r>
            <w:r w:rsidRPr="006F5834">
              <w:t>the Slovak Republic represented by the Ministry of Transport, Construction and Regional Development of the Slovak Republic based on the Public Procurement.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6F5834" w:rsidRDefault="0009451B" w:rsidP="000576B7">
            <w:pPr>
              <w:pStyle w:val="Schedule1"/>
            </w:pPr>
            <w:r w:rsidRPr="006F5834">
              <w:lastRenderedPageBreak/>
              <w:t>Vyhlásenie Poskytovateľa</w:t>
            </w:r>
          </w:p>
        </w:tc>
        <w:tc>
          <w:tcPr>
            <w:tcW w:w="4622" w:type="dxa"/>
          </w:tcPr>
          <w:p w:rsidR="0009451B" w:rsidRPr="006F5834" w:rsidRDefault="00133E7B" w:rsidP="00133E7B">
            <w:pPr>
              <w:pStyle w:val="Appendix1"/>
            </w:pPr>
            <w:r>
              <w:t xml:space="preserve">Declaration of the </w:t>
            </w:r>
            <w:r w:rsidR="00783F8A">
              <w:t>P</w:t>
            </w:r>
            <w:r>
              <w:t>rovider</w:t>
            </w:r>
          </w:p>
        </w:tc>
      </w:tr>
      <w:tr w:rsidR="00133E7B" w:rsidRPr="006F5834" w:rsidTr="003A4D9A">
        <w:tc>
          <w:tcPr>
            <w:tcW w:w="4621" w:type="dxa"/>
          </w:tcPr>
          <w:p w:rsidR="00133E7B" w:rsidRPr="006F5834" w:rsidRDefault="00133E7B" w:rsidP="00133E7B">
            <w:pPr>
              <w:pStyle w:val="Schedule2"/>
            </w:pPr>
            <w:r w:rsidRPr="006F5834">
              <w:t xml:space="preserve">Poskytovateľ čestným vyhlásením alebo dokumentom preukazujúcim </w:t>
            </w:r>
            <w:r w:rsidRPr="006F5834">
              <w:rPr>
                <w:i/>
              </w:rPr>
              <w:t>finančné zdroje/čestným vyhlásením/potvrdením odberateľa</w:t>
            </w:r>
            <w:r w:rsidRPr="006F5834">
              <w:rPr>
                <w:vertAlign w:val="superscript"/>
              </w:rPr>
              <w:footnoteReference w:id="17"/>
            </w:r>
            <w:r w:rsidRPr="006F5834">
              <w:t>, ktoré je neoddeliteľnou súčasťou tejto zmluvy, preukazuje zab</w:t>
            </w:r>
            <w:r>
              <w:t>ezpečenie Potrebnej referencie.</w:t>
            </w:r>
          </w:p>
        </w:tc>
        <w:tc>
          <w:tcPr>
            <w:tcW w:w="4622" w:type="dxa"/>
          </w:tcPr>
          <w:p w:rsidR="00133E7B" w:rsidRPr="006F5834" w:rsidRDefault="00133E7B" w:rsidP="00783F8A">
            <w:pPr>
              <w:pStyle w:val="Appendix2"/>
            </w:pPr>
            <w:r w:rsidRPr="006F5834">
              <w:t xml:space="preserve">The Provider demonstrates the securing of the Required reference by sworn affidavit or by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document of </w:t>
            </w:r>
            <w:r w:rsidRPr="006F5834">
              <w:rPr>
                <w:i/>
              </w:rPr>
              <w:t>financial resources/sworn affidavit/customer confirmation</w:t>
            </w:r>
            <w:r w:rsidRPr="006F5834">
              <w:rPr>
                <w:vertAlign w:val="superscript"/>
              </w:rPr>
              <w:footnoteReference w:id="18"/>
            </w:r>
            <w:r w:rsidRPr="006F5834">
              <w:t xml:space="preserve"> which is an integral part of this contract.</w:t>
            </w:r>
          </w:p>
        </w:tc>
      </w:tr>
      <w:tr w:rsidR="0009451B" w:rsidRPr="006F5834" w:rsidTr="003A4D9A">
        <w:tc>
          <w:tcPr>
            <w:tcW w:w="4621" w:type="dxa"/>
          </w:tcPr>
          <w:p w:rsidR="0009451B" w:rsidRPr="006F5834" w:rsidRDefault="0009451B" w:rsidP="00133E7B">
            <w:pPr>
              <w:pStyle w:val="Schedule1"/>
            </w:pPr>
            <w:r>
              <w:t>Záverečné ustanovenia</w:t>
            </w:r>
          </w:p>
        </w:tc>
        <w:tc>
          <w:tcPr>
            <w:tcW w:w="4622" w:type="dxa"/>
          </w:tcPr>
          <w:p w:rsidR="0009451B" w:rsidRPr="006F5834" w:rsidRDefault="00133E7B" w:rsidP="00133E7B">
            <w:pPr>
              <w:pStyle w:val="Appendix1"/>
            </w:pPr>
            <w:r>
              <w:t>Final provisions</w:t>
            </w:r>
          </w:p>
        </w:tc>
      </w:tr>
      <w:tr w:rsidR="00133E7B" w:rsidRPr="006F5834" w:rsidTr="003A4D9A">
        <w:tc>
          <w:tcPr>
            <w:tcW w:w="4621" w:type="dxa"/>
          </w:tcPr>
          <w:p w:rsidR="00133E7B" w:rsidRPr="006F5834" w:rsidRDefault="00133E7B" w:rsidP="00133E7B">
            <w:pPr>
              <w:pStyle w:val="Schedule2"/>
            </w:pPr>
            <w:r w:rsidRPr="006F5834">
              <w:t xml:space="preserve">Zmluva je vyhotovená </w:t>
            </w:r>
            <w:r w:rsidR="00755E70" w:rsidRPr="006F5834">
              <w:t>v</w:t>
            </w:r>
            <w:r w:rsidR="00755E70">
              <w:t> </w:t>
            </w:r>
            <w:r w:rsidR="00755E70" w:rsidRPr="006F5834">
              <w:rPr>
                <w:i/>
              </w:rPr>
              <w:t>3</w:t>
            </w:r>
            <w:r w:rsidR="00755E70">
              <w:rPr>
                <w:i/>
              </w:rPr>
              <w:t> </w:t>
            </w:r>
            <w:r w:rsidRPr="006F5834">
              <w:t xml:space="preserve">exemplároch, </w:t>
            </w:r>
            <w:r w:rsidR="00755E70" w:rsidRPr="006F5834">
              <w:t>z</w:t>
            </w:r>
            <w:r w:rsidR="00755E70">
              <w:t> </w:t>
            </w:r>
            <w:r w:rsidRPr="006F5834">
              <w:t xml:space="preserve">ktorých každá zmluvná strana dostane jedno vyhotovenie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jedno vyhotovenie je určené na preukázanie dostupnosti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rámci verejného obstarávania pre Záujemcu/ Skupinu dodávateľov verejnému obstarávateľovi. Záväzkové vzťahy zmluvných strán sa riadia príslušnými ustanoveniami zákona </w:t>
            </w:r>
            <w:r w:rsidR="00F141BF">
              <w:t>č.</w:t>
            </w:r>
            <w:r w:rsidRPr="006F5834">
              <w:t xml:space="preserve"> 513/1991 Zb. Obchodný zákonník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znení neskorších predpisov. Zmluva je vyhotovená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slovenskom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anglickom jazyku. </w:t>
            </w:r>
            <w:r w:rsidR="00755E70" w:rsidRPr="006F5834">
              <w:t>V</w:t>
            </w:r>
            <w:r w:rsidR="00755E70">
              <w:t> </w:t>
            </w:r>
            <w:r w:rsidRPr="006F5834">
              <w:t>prípade nezrovnalostí j</w:t>
            </w:r>
            <w:r>
              <w:t>e rozhodujúca slovenská verzia.</w:t>
            </w:r>
          </w:p>
        </w:tc>
        <w:tc>
          <w:tcPr>
            <w:tcW w:w="4622" w:type="dxa"/>
          </w:tcPr>
          <w:p w:rsidR="00133E7B" w:rsidRPr="006F5834" w:rsidRDefault="00133E7B" w:rsidP="00127837">
            <w:pPr>
              <w:pStyle w:val="Appendix2"/>
            </w:pPr>
            <w:r w:rsidRPr="006F5834">
              <w:t xml:space="preserve">This agreement is executed in </w:t>
            </w:r>
            <w:r w:rsidR="00755E70" w:rsidRPr="006F5834">
              <w:rPr>
                <w:i/>
              </w:rPr>
              <w:t>3</w:t>
            </w:r>
            <w:r w:rsidR="00755E70">
              <w:rPr>
                <w:i/>
              </w:rPr>
              <w:t> </w:t>
            </w:r>
            <w:r w:rsidRPr="006F5834">
              <w:t xml:space="preserve">counterparts, whereby each party will receive one, and one counterpart will be included in the request to participate of the Candidate/Group of suppliers to prove the availability to perform the contract for the </w:t>
            </w:r>
            <w:r w:rsidR="00127837">
              <w:t>c</w:t>
            </w:r>
            <w:r w:rsidR="00127837" w:rsidRPr="006F5834">
              <w:t xml:space="preserve">ontracting </w:t>
            </w:r>
            <w:r w:rsidR="00127837">
              <w:t>a</w:t>
            </w:r>
            <w:r w:rsidR="00127837" w:rsidRPr="006F5834">
              <w:t>uthority</w:t>
            </w:r>
            <w:r w:rsidRPr="006F5834">
              <w:t xml:space="preserve">. The contractual obligations of the parties are governed by the relevant provisions of Act </w:t>
            </w:r>
            <w:r w:rsidR="00127837">
              <w:t>n</w:t>
            </w:r>
            <w:r w:rsidR="00127837" w:rsidRPr="006F5834">
              <w:t>o</w:t>
            </w:r>
            <w:r w:rsidRPr="006F5834">
              <w:t>. 513/1991 Coll. (Commercial Code) as amended. This agreement is executed in Slovak and English. In the event of any discrepancies, th</w:t>
            </w:r>
            <w:r>
              <w:t>e Slovak version shall prevail.</w:t>
            </w:r>
          </w:p>
        </w:tc>
      </w:tr>
      <w:tr w:rsidR="00133E7B" w:rsidRPr="006F5834" w:rsidTr="00FB312E">
        <w:tc>
          <w:tcPr>
            <w:tcW w:w="4621" w:type="dxa"/>
            <w:tcBorders>
              <w:bottom w:val="nil"/>
            </w:tcBorders>
          </w:tcPr>
          <w:p w:rsidR="00133E7B" w:rsidRPr="006F5834" w:rsidRDefault="00133E7B" w:rsidP="00133E7B">
            <w:pPr>
              <w:pStyle w:val="Schedule2"/>
            </w:pPr>
            <w:r w:rsidRPr="006F5834">
              <w:t>Zmluva nadobúda účinnosť dňom jej</w:t>
            </w:r>
            <w:r>
              <w:t xml:space="preserve"> podpísania zmluvnými stranami.</w:t>
            </w:r>
          </w:p>
        </w:tc>
        <w:tc>
          <w:tcPr>
            <w:tcW w:w="4622" w:type="dxa"/>
            <w:tcBorders>
              <w:bottom w:val="nil"/>
            </w:tcBorders>
          </w:tcPr>
          <w:p w:rsidR="00133E7B" w:rsidRPr="006F5834" w:rsidRDefault="00133E7B" w:rsidP="00133E7B">
            <w:pPr>
              <w:pStyle w:val="Appendix2"/>
            </w:pPr>
            <w:r w:rsidRPr="006F5834">
              <w:t>This agreement comes into effect on the date</w:t>
            </w:r>
            <w:r>
              <w:t xml:space="preserve"> of its signing by all parties.</w:t>
            </w:r>
          </w:p>
        </w:tc>
      </w:tr>
      <w:tr w:rsidR="0009451B" w:rsidRPr="006F5834" w:rsidTr="00FB312E">
        <w:tc>
          <w:tcPr>
            <w:tcW w:w="4621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</w:pPr>
            <w:r>
              <w:t>V </w:t>
            </w:r>
            <w:r w:rsidR="0009451B">
              <w:t>[●] dňa [●]</w:t>
            </w:r>
          </w:p>
        </w:tc>
        <w:tc>
          <w:tcPr>
            <w:tcW w:w="4622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</w:pPr>
            <w:r>
              <w:t>In [●] on [●]</w:t>
            </w:r>
          </w:p>
        </w:tc>
      </w:tr>
      <w:tr w:rsidR="0009451B" w:rsidRPr="006F5834" w:rsidTr="00FB312E">
        <w:tc>
          <w:tcPr>
            <w:tcW w:w="0" w:type="auto"/>
            <w:gridSpan w:val="2"/>
            <w:tcBorders>
              <w:top w:val="single" w:sz="4" w:space="0" w:color="auto"/>
            </w:tcBorders>
          </w:tcPr>
          <w:p w:rsidR="0009451B" w:rsidRPr="006F5834" w:rsidRDefault="0009451B" w:rsidP="000576B7">
            <w:pPr>
              <w:pStyle w:val="wText"/>
            </w:pPr>
          </w:p>
          <w:p w:rsidR="0009451B" w:rsidRPr="006F5834" w:rsidRDefault="0009451B" w:rsidP="003A4D9A">
            <w:pPr>
              <w:pStyle w:val="wText"/>
              <w:tabs>
                <w:tab w:val="left" w:pos="5387"/>
              </w:tabs>
              <w:spacing w:after="0"/>
              <w:ind w:left="284"/>
            </w:pPr>
            <w:r w:rsidRPr="006F5834">
              <w:t>.....................................</w:t>
            </w:r>
            <w:r w:rsidRPr="006F5834">
              <w:tab/>
              <w:t>.....................................</w:t>
            </w:r>
          </w:p>
          <w:p w:rsidR="003A4D9A" w:rsidRDefault="0009451B" w:rsidP="003A4D9A">
            <w:pPr>
              <w:pStyle w:val="wText"/>
              <w:tabs>
                <w:tab w:val="left" w:pos="4962"/>
              </w:tabs>
              <w:spacing w:after="0"/>
              <w:ind w:left="238"/>
            </w:pPr>
            <w:r w:rsidRPr="006F5834">
              <w:t>Poskytovateľ/Provider</w:t>
            </w:r>
            <w:r w:rsidRPr="006F5834">
              <w:tab/>
              <w:t xml:space="preserve">Záujemca/ Skupina dodávateľov/ </w:t>
            </w:r>
          </w:p>
          <w:p w:rsidR="0009451B" w:rsidRPr="006F5834" w:rsidRDefault="003A4D9A" w:rsidP="003A4D9A">
            <w:pPr>
              <w:pStyle w:val="wText"/>
              <w:tabs>
                <w:tab w:val="left" w:pos="5103"/>
              </w:tabs>
            </w:pPr>
            <w:r w:rsidRPr="006F5834">
              <w:tab/>
            </w:r>
            <w:r w:rsidR="0009451B" w:rsidRPr="006F5834">
              <w:t xml:space="preserve">Candidate/Group </w:t>
            </w:r>
            <w:r w:rsidR="00133E7B">
              <w:t>of suppliers</w:t>
            </w:r>
          </w:p>
        </w:tc>
      </w:tr>
    </w:tbl>
    <w:p w:rsidR="00EB1DE8" w:rsidRPr="005F2F12" w:rsidRDefault="0009451B" w:rsidP="005F2F12">
      <w:pPr>
        <w:pStyle w:val="wText"/>
        <w:spacing w:before="120" w:after="0"/>
        <w:rPr>
          <w:i/>
        </w:rPr>
      </w:pPr>
      <w:r w:rsidRPr="006F5834">
        <w:rPr>
          <w:b/>
        </w:rPr>
        <w:t>Príloha/Attachment</w:t>
      </w:r>
      <w:r w:rsidRPr="006F5834">
        <w:br/>
        <w:t xml:space="preserve">Čestné vyhlásenie/potvrdenie odberateľa </w:t>
      </w:r>
      <w:r w:rsidR="00755E70" w:rsidRPr="006F5834">
        <w:t>o</w:t>
      </w:r>
      <w:r w:rsidR="00755E70">
        <w:t> </w:t>
      </w:r>
      <w:r w:rsidRPr="006F5834">
        <w:rPr>
          <w:i/>
        </w:rPr>
        <w:t xml:space="preserve">finančných zdrojoch/referencii/ </w:t>
      </w:r>
      <w:r w:rsidRPr="006F5834">
        <w:t xml:space="preserve">Sworn affidavit/confirmation of the customer of </w:t>
      </w:r>
      <w:r w:rsidRPr="006F5834">
        <w:rPr>
          <w:i/>
        </w:rPr>
        <w:t>financial resources/references</w:t>
      </w:r>
    </w:p>
    <w:sectPr w:rsidR="00EB1DE8" w:rsidRPr="005F2F12" w:rsidSect="00EB1DE8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37" w:rsidRDefault="00455437" w:rsidP="0009451B">
      <w:r>
        <w:separator/>
      </w:r>
    </w:p>
  </w:endnote>
  <w:endnote w:type="continuationSeparator" w:id="0">
    <w:p w:rsidR="00455437" w:rsidRDefault="00455437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0383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EB1DE8" w:rsidRPr="00EB1DE8" w:rsidRDefault="00EB1DE8">
        <w:pPr>
          <w:pStyle w:val="Zpat"/>
          <w:rPr>
            <w:sz w:val="22"/>
            <w:szCs w:val="22"/>
          </w:rPr>
        </w:pPr>
        <w:r w:rsidRPr="00EB1DE8">
          <w:rPr>
            <w:sz w:val="22"/>
            <w:szCs w:val="22"/>
          </w:rPr>
          <w:fldChar w:fldCharType="begin"/>
        </w:r>
        <w:r w:rsidRPr="00EB1DE8">
          <w:rPr>
            <w:sz w:val="22"/>
            <w:szCs w:val="22"/>
          </w:rPr>
          <w:instrText>PAGE   \* MERGEFORMAT</w:instrText>
        </w:r>
        <w:r w:rsidRPr="00EB1DE8">
          <w:rPr>
            <w:sz w:val="22"/>
            <w:szCs w:val="22"/>
          </w:rPr>
          <w:fldChar w:fldCharType="separate"/>
        </w:r>
        <w:r w:rsidR="00D86FEE" w:rsidRPr="00D86FEE">
          <w:rPr>
            <w:noProof/>
            <w:sz w:val="22"/>
            <w:szCs w:val="22"/>
            <w:lang w:val="cs-CZ"/>
          </w:rPr>
          <w:t>1</w:t>
        </w:r>
        <w:r w:rsidRPr="00EB1DE8">
          <w:rPr>
            <w:sz w:val="22"/>
            <w:szCs w:val="22"/>
          </w:rPr>
          <w:fldChar w:fldCharType="end"/>
        </w:r>
      </w:p>
    </w:sdtContent>
  </w:sdt>
  <w:p w:rsidR="00B34DDB" w:rsidRDefault="00B34D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37" w:rsidRDefault="00455437" w:rsidP="0009451B">
      <w:r>
        <w:separator/>
      </w:r>
    </w:p>
  </w:footnote>
  <w:footnote w:type="continuationSeparator" w:id="0">
    <w:p w:rsidR="00455437" w:rsidRDefault="00455437" w:rsidP="0009451B">
      <w:r>
        <w:continuationSeparator/>
      </w:r>
    </w:p>
  </w:footnote>
  <w:footnote w:id="1">
    <w:p w:rsidR="004F6C2C" w:rsidRDefault="004F6C2C" w:rsidP="00B46E17">
      <w:pPr>
        <w:pStyle w:val="Textpoznpodarou"/>
      </w:pPr>
      <w:r w:rsidRPr="004E54D5">
        <w:rPr>
          <w:rStyle w:val="Znakapoznpodarou"/>
          <w:szCs w:val="16"/>
        </w:rPr>
        <w:footnoteRef/>
      </w:r>
      <w:r>
        <w:tab/>
      </w:r>
      <w:r w:rsidRPr="00C62343">
        <w:t>Vyberte vhodné/ Choose applicable</w:t>
      </w:r>
    </w:p>
  </w:footnote>
  <w:footnote w:id="2">
    <w:p w:rsidR="004F6C2C" w:rsidRDefault="004F6C2C" w:rsidP="00B46E17">
      <w:pPr>
        <w:pStyle w:val="Textpoznpodarou"/>
      </w:pPr>
      <w:r w:rsidRPr="004E54D5">
        <w:rPr>
          <w:rStyle w:val="Znakapoznpodarou"/>
          <w:szCs w:val="16"/>
        </w:rPr>
        <w:footnoteRef/>
      </w:r>
      <w:r>
        <w:tab/>
      </w:r>
      <w:r w:rsidRPr="00C62343">
        <w:t>Vyberte vhodné/ Choose applicable</w:t>
      </w:r>
    </w:p>
  </w:footnote>
  <w:footnote w:id="3">
    <w:p w:rsidR="004F6C2C" w:rsidRDefault="004F6C2C" w:rsidP="00B46E17">
      <w:pPr>
        <w:pStyle w:val="Textpoznpodarou"/>
      </w:pPr>
      <w:r w:rsidRPr="004E54D5">
        <w:rPr>
          <w:rStyle w:val="Znakapoznpodarou"/>
          <w:szCs w:val="16"/>
        </w:rPr>
        <w:footnoteRef/>
      </w:r>
      <w:r>
        <w:tab/>
      </w:r>
      <w:r w:rsidRPr="00C62343">
        <w:t>Vyberte vhodné/ Choose applicable</w:t>
      </w:r>
    </w:p>
  </w:footnote>
  <w:footnote w:id="4">
    <w:p w:rsidR="004F6C2C" w:rsidRDefault="004F6C2C" w:rsidP="00B46E17">
      <w:pPr>
        <w:pStyle w:val="Textpoznpodarou"/>
      </w:pPr>
      <w:r w:rsidRPr="004E54D5">
        <w:rPr>
          <w:rStyle w:val="Znakapoznpodarou"/>
          <w:szCs w:val="16"/>
        </w:rPr>
        <w:footnoteRef/>
      </w:r>
      <w:r>
        <w:tab/>
      </w:r>
      <w:r w:rsidRPr="00C62343">
        <w:t>Vyberte vhodné/ Choose applicable</w:t>
      </w:r>
    </w:p>
  </w:footnote>
  <w:footnote w:id="5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6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7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8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9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10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11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12">
    <w:p w:rsidR="004F6C2C" w:rsidRDefault="004F6C2C" w:rsidP="00B46E17">
      <w:pPr>
        <w:pStyle w:val="Textpoznpodarou"/>
      </w:pPr>
      <w:r w:rsidRPr="004E54D5">
        <w:rPr>
          <w:rStyle w:val="Znakapoznpodarou"/>
          <w:szCs w:val="16"/>
        </w:rPr>
        <w:footnoteRef/>
      </w:r>
      <w:r>
        <w:tab/>
      </w:r>
      <w:r w:rsidRPr="00C34E36">
        <w:t>Vyberte vhodné/ Choose applicable</w:t>
      </w:r>
    </w:p>
  </w:footnote>
  <w:footnote w:id="13">
    <w:p w:rsidR="004F6C2C" w:rsidRDefault="004F6C2C" w:rsidP="00B46E17">
      <w:pPr>
        <w:pStyle w:val="Textpoznpodarou"/>
      </w:pPr>
      <w:r w:rsidRPr="00C34E36">
        <w:rPr>
          <w:rStyle w:val="Znakapoznpodarou"/>
          <w:szCs w:val="16"/>
        </w:rPr>
        <w:footnoteRef/>
      </w:r>
      <w:r>
        <w:tab/>
      </w:r>
      <w:r w:rsidRPr="00C34E36">
        <w:t>Vyberte vhodné/ Choose applicable</w:t>
      </w:r>
    </w:p>
  </w:footnote>
  <w:footnote w:id="14">
    <w:p w:rsidR="004F6C2C" w:rsidRDefault="004F6C2C" w:rsidP="00B46E17">
      <w:pPr>
        <w:pStyle w:val="Textpoznpodarou"/>
      </w:pPr>
      <w:r w:rsidRPr="00C34E36">
        <w:rPr>
          <w:rStyle w:val="Znakapoznpodarou"/>
          <w:szCs w:val="16"/>
        </w:rPr>
        <w:footnoteRef/>
      </w:r>
      <w:r>
        <w:tab/>
      </w:r>
      <w:r w:rsidRPr="00C34E36">
        <w:t>Vyberte vhodné/ Choose applicable</w:t>
      </w:r>
    </w:p>
  </w:footnote>
  <w:footnote w:id="15">
    <w:p w:rsidR="004F6C2C" w:rsidRDefault="004F6C2C" w:rsidP="00B46E17">
      <w:pPr>
        <w:pStyle w:val="Textpoznpodarou"/>
      </w:pPr>
      <w:r w:rsidRPr="00DD6F92">
        <w:rPr>
          <w:rStyle w:val="Znakapoznpodarou"/>
          <w:szCs w:val="16"/>
        </w:rPr>
        <w:footnoteRef/>
      </w:r>
      <w:r>
        <w:tab/>
      </w:r>
      <w:r w:rsidRPr="00DD6F92">
        <w:t>Vyberte vhodné/ Choose applicable</w:t>
      </w:r>
    </w:p>
  </w:footnote>
  <w:footnote w:id="16">
    <w:p w:rsidR="004F6C2C" w:rsidRDefault="004F6C2C" w:rsidP="00B46E17">
      <w:pPr>
        <w:pStyle w:val="Textpoznpodarou"/>
      </w:pPr>
      <w:r w:rsidRPr="00C34E36">
        <w:rPr>
          <w:rStyle w:val="Znakapoznpodarou"/>
          <w:szCs w:val="16"/>
        </w:rPr>
        <w:footnoteRef/>
      </w:r>
      <w:r>
        <w:tab/>
      </w:r>
      <w:r w:rsidRPr="00C34E36">
        <w:t>Vyberte vhodné/ Choose applicable</w:t>
      </w:r>
    </w:p>
  </w:footnote>
  <w:footnote w:id="17">
    <w:p w:rsidR="004F6C2C" w:rsidRDefault="004F6C2C" w:rsidP="00B46E17">
      <w:pPr>
        <w:pStyle w:val="Textpoznpodarou"/>
      </w:pPr>
      <w:r w:rsidRPr="00C34E36">
        <w:rPr>
          <w:rStyle w:val="Znakapoznpodarou"/>
          <w:szCs w:val="16"/>
        </w:rPr>
        <w:footnoteRef/>
      </w:r>
      <w:r>
        <w:tab/>
      </w:r>
      <w:r w:rsidRPr="00C34E36">
        <w:t>Vyberte vhodné/ Choose applicable</w:t>
      </w:r>
    </w:p>
  </w:footnote>
  <w:footnote w:id="18">
    <w:p w:rsidR="004F6C2C" w:rsidRDefault="004F6C2C" w:rsidP="00B46E17">
      <w:pPr>
        <w:pStyle w:val="Textpoznpodarou"/>
      </w:pPr>
      <w:r w:rsidRPr="00C34E36">
        <w:rPr>
          <w:rStyle w:val="Znakapoznpodarou"/>
          <w:szCs w:val="16"/>
        </w:rPr>
        <w:footnoteRef/>
      </w:r>
      <w:r>
        <w:tab/>
      </w:r>
      <w:r w:rsidRPr="00C34E36">
        <w:t>Vyberte vhodné/ Choose applicable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DE8" w:rsidRPr="002E5C3F" w:rsidRDefault="00EB1DE8" w:rsidP="00EB1DE8">
    <w:pPr>
      <w:pStyle w:val="Zhlav"/>
      <w:jc w:val="right"/>
      <w:rPr>
        <w:i/>
      </w:rPr>
    </w:pPr>
    <w:r>
      <w:rPr>
        <w:i/>
      </w:rPr>
      <w:t>Príloha 8/ Schedule 8</w:t>
    </w:r>
    <w:r>
      <w:rPr>
        <w:i/>
      </w:rPr>
      <w:br/>
    </w:r>
    <w:r w:rsidRPr="00A60B24">
      <w:rPr>
        <w:i/>
      </w:rPr>
      <w:t xml:space="preserve">Zmluva o zabezpečení finančných zdrojov/odbornej </w:t>
    </w:r>
    <w:r w:rsidRPr="007C61C4">
      <w:rPr>
        <w:i/>
      </w:rPr>
      <w:t>kapacity/ Agreement on  securing of  financial resources/expert capacity</w:t>
    </w:r>
  </w:p>
  <w:p w:rsidR="004F6C2C" w:rsidRPr="00EB1DE8" w:rsidRDefault="004F6C2C" w:rsidP="00EB1D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2E5C3F" w:rsidRDefault="002E5C3F" w:rsidP="002E5C3F">
    <w:pPr>
      <w:pStyle w:val="Zhlav"/>
      <w:jc w:val="right"/>
      <w:rPr>
        <w:i/>
      </w:rPr>
    </w:pPr>
    <w:r>
      <w:rPr>
        <w:i/>
      </w:rPr>
      <w:t>Príloha 8</w:t>
    </w:r>
    <w:r w:rsidR="007C61C4">
      <w:rPr>
        <w:i/>
      </w:rPr>
      <w:t>/ Schedule 8</w:t>
    </w:r>
    <w:r>
      <w:rPr>
        <w:i/>
      </w:rPr>
      <w:br/>
    </w:r>
    <w:r w:rsidRPr="00A60B24">
      <w:rPr>
        <w:i/>
      </w:rPr>
      <w:t xml:space="preserve">Zmluva o zabezpečení finančných zdrojov/odbornej </w:t>
    </w:r>
    <w:r w:rsidRPr="007C61C4">
      <w:rPr>
        <w:i/>
      </w:rPr>
      <w:t>kapacity</w:t>
    </w:r>
    <w:r w:rsidR="007C61C4" w:rsidRPr="007C61C4">
      <w:rPr>
        <w:i/>
      </w:rPr>
      <w:t>/ Agreement on  securing of  financial resources/expert capacity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4DFE5F82"/>
    <w:lvl w:ilvl="0">
      <w:start w:val="8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11622"/>
    <w:rsid w:val="000233CE"/>
    <w:rsid w:val="000403B6"/>
    <w:rsid w:val="000457B9"/>
    <w:rsid w:val="000546A1"/>
    <w:rsid w:val="000576B7"/>
    <w:rsid w:val="00060821"/>
    <w:rsid w:val="00061632"/>
    <w:rsid w:val="00070036"/>
    <w:rsid w:val="000849C1"/>
    <w:rsid w:val="0009451B"/>
    <w:rsid w:val="00096922"/>
    <w:rsid w:val="000A166B"/>
    <w:rsid w:val="000B1632"/>
    <w:rsid w:val="000B6F79"/>
    <w:rsid w:val="000C11C6"/>
    <w:rsid w:val="000E39CE"/>
    <w:rsid w:val="000E4E8F"/>
    <w:rsid w:val="000F0EE3"/>
    <w:rsid w:val="000F4F2B"/>
    <w:rsid w:val="00116026"/>
    <w:rsid w:val="00116577"/>
    <w:rsid w:val="00121B58"/>
    <w:rsid w:val="001241E8"/>
    <w:rsid w:val="00127837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42C7C"/>
    <w:rsid w:val="002473C1"/>
    <w:rsid w:val="00256050"/>
    <w:rsid w:val="00273B88"/>
    <w:rsid w:val="00281DD1"/>
    <w:rsid w:val="002825ED"/>
    <w:rsid w:val="00282A69"/>
    <w:rsid w:val="00297C3C"/>
    <w:rsid w:val="002A2BF5"/>
    <w:rsid w:val="002A3044"/>
    <w:rsid w:val="002A4B98"/>
    <w:rsid w:val="002B10AD"/>
    <w:rsid w:val="002B22AE"/>
    <w:rsid w:val="002B415A"/>
    <w:rsid w:val="002D0FAA"/>
    <w:rsid w:val="002E0AF8"/>
    <w:rsid w:val="002E5C3F"/>
    <w:rsid w:val="002E6D25"/>
    <w:rsid w:val="003006EB"/>
    <w:rsid w:val="00305665"/>
    <w:rsid w:val="00307C88"/>
    <w:rsid w:val="00326ECD"/>
    <w:rsid w:val="00331225"/>
    <w:rsid w:val="00333A72"/>
    <w:rsid w:val="00335730"/>
    <w:rsid w:val="003715BB"/>
    <w:rsid w:val="00372911"/>
    <w:rsid w:val="003734A6"/>
    <w:rsid w:val="003775BB"/>
    <w:rsid w:val="003A4D9A"/>
    <w:rsid w:val="003A6266"/>
    <w:rsid w:val="003A6750"/>
    <w:rsid w:val="003B2B8E"/>
    <w:rsid w:val="003B5D21"/>
    <w:rsid w:val="003D0DA8"/>
    <w:rsid w:val="003E093A"/>
    <w:rsid w:val="003E4DF8"/>
    <w:rsid w:val="00400832"/>
    <w:rsid w:val="004055BA"/>
    <w:rsid w:val="00422980"/>
    <w:rsid w:val="00425974"/>
    <w:rsid w:val="00425FB3"/>
    <w:rsid w:val="004313F3"/>
    <w:rsid w:val="00432195"/>
    <w:rsid w:val="004379F9"/>
    <w:rsid w:val="00440CF3"/>
    <w:rsid w:val="0044240F"/>
    <w:rsid w:val="00445C79"/>
    <w:rsid w:val="00455437"/>
    <w:rsid w:val="004618AC"/>
    <w:rsid w:val="00464F92"/>
    <w:rsid w:val="004800A5"/>
    <w:rsid w:val="004A2451"/>
    <w:rsid w:val="004B3C22"/>
    <w:rsid w:val="004C33B1"/>
    <w:rsid w:val="004D0DF1"/>
    <w:rsid w:val="004D774E"/>
    <w:rsid w:val="004E1C48"/>
    <w:rsid w:val="004F0BF3"/>
    <w:rsid w:val="004F6C2C"/>
    <w:rsid w:val="005373FE"/>
    <w:rsid w:val="005465B2"/>
    <w:rsid w:val="00550EB9"/>
    <w:rsid w:val="00553DF0"/>
    <w:rsid w:val="00555E01"/>
    <w:rsid w:val="0055794E"/>
    <w:rsid w:val="00566439"/>
    <w:rsid w:val="00591361"/>
    <w:rsid w:val="00595557"/>
    <w:rsid w:val="005A3D70"/>
    <w:rsid w:val="005B0CA3"/>
    <w:rsid w:val="005C18DB"/>
    <w:rsid w:val="005C33E5"/>
    <w:rsid w:val="005D716F"/>
    <w:rsid w:val="005E434E"/>
    <w:rsid w:val="005F1F71"/>
    <w:rsid w:val="005F2F12"/>
    <w:rsid w:val="00604D82"/>
    <w:rsid w:val="00614958"/>
    <w:rsid w:val="00627CBF"/>
    <w:rsid w:val="00635EC1"/>
    <w:rsid w:val="00642288"/>
    <w:rsid w:val="00672573"/>
    <w:rsid w:val="006806E0"/>
    <w:rsid w:val="0068175B"/>
    <w:rsid w:val="00682433"/>
    <w:rsid w:val="006873E2"/>
    <w:rsid w:val="00692B1E"/>
    <w:rsid w:val="006B0BFC"/>
    <w:rsid w:val="006B3A4A"/>
    <w:rsid w:val="006C1811"/>
    <w:rsid w:val="006C2D88"/>
    <w:rsid w:val="006D5A6C"/>
    <w:rsid w:val="006E68EE"/>
    <w:rsid w:val="006F13E8"/>
    <w:rsid w:val="006F1C68"/>
    <w:rsid w:val="006F2E2C"/>
    <w:rsid w:val="006F5834"/>
    <w:rsid w:val="00705ABE"/>
    <w:rsid w:val="007060C7"/>
    <w:rsid w:val="00712F7D"/>
    <w:rsid w:val="00714596"/>
    <w:rsid w:val="00730EFD"/>
    <w:rsid w:val="007313D8"/>
    <w:rsid w:val="007411BD"/>
    <w:rsid w:val="00742547"/>
    <w:rsid w:val="00744D10"/>
    <w:rsid w:val="007511E3"/>
    <w:rsid w:val="00754FAA"/>
    <w:rsid w:val="00755E70"/>
    <w:rsid w:val="00763C51"/>
    <w:rsid w:val="00781461"/>
    <w:rsid w:val="007839B4"/>
    <w:rsid w:val="00783F8A"/>
    <w:rsid w:val="00786C87"/>
    <w:rsid w:val="00790476"/>
    <w:rsid w:val="007920C9"/>
    <w:rsid w:val="007935C8"/>
    <w:rsid w:val="0079374D"/>
    <w:rsid w:val="007A6AD6"/>
    <w:rsid w:val="007B5B3F"/>
    <w:rsid w:val="007C61C4"/>
    <w:rsid w:val="00812BBF"/>
    <w:rsid w:val="00820745"/>
    <w:rsid w:val="00821FA1"/>
    <w:rsid w:val="00827290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C65B1"/>
    <w:rsid w:val="009D307D"/>
    <w:rsid w:val="009E2292"/>
    <w:rsid w:val="009E7A61"/>
    <w:rsid w:val="009F63DF"/>
    <w:rsid w:val="009F6647"/>
    <w:rsid w:val="00A02524"/>
    <w:rsid w:val="00A067A8"/>
    <w:rsid w:val="00A110E3"/>
    <w:rsid w:val="00A16827"/>
    <w:rsid w:val="00A225D1"/>
    <w:rsid w:val="00A32BDA"/>
    <w:rsid w:val="00A352A6"/>
    <w:rsid w:val="00A40F41"/>
    <w:rsid w:val="00A50F8B"/>
    <w:rsid w:val="00A55CDE"/>
    <w:rsid w:val="00A60B24"/>
    <w:rsid w:val="00A651A0"/>
    <w:rsid w:val="00A72F41"/>
    <w:rsid w:val="00A75654"/>
    <w:rsid w:val="00A7582D"/>
    <w:rsid w:val="00A81FEE"/>
    <w:rsid w:val="00A9189F"/>
    <w:rsid w:val="00AA4E89"/>
    <w:rsid w:val="00AB12CE"/>
    <w:rsid w:val="00AB26EF"/>
    <w:rsid w:val="00AB5BAC"/>
    <w:rsid w:val="00AB7510"/>
    <w:rsid w:val="00AE0E04"/>
    <w:rsid w:val="00AF1AA3"/>
    <w:rsid w:val="00AF7CB6"/>
    <w:rsid w:val="00B0021D"/>
    <w:rsid w:val="00B02232"/>
    <w:rsid w:val="00B05308"/>
    <w:rsid w:val="00B25024"/>
    <w:rsid w:val="00B32FE2"/>
    <w:rsid w:val="00B34DDB"/>
    <w:rsid w:val="00B4676F"/>
    <w:rsid w:val="00B46E17"/>
    <w:rsid w:val="00B575F0"/>
    <w:rsid w:val="00B64170"/>
    <w:rsid w:val="00B939DC"/>
    <w:rsid w:val="00BA0FDD"/>
    <w:rsid w:val="00BA5F00"/>
    <w:rsid w:val="00BB1925"/>
    <w:rsid w:val="00BB34F5"/>
    <w:rsid w:val="00BD3949"/>
    <w:rsid w:val="00BD3DCB"/>
    <w:rsid w:val="00BE2177"/>
    <w:rsid w:val="00BF1512"/>
    <w:rsid w:val="00BF18BA"/>
    <w:rsid w:val="00BF7ABA"/>
    <w:rsid w:val="00C07C39"/>
    <w:rsid w:val="00C13F79"/>
    <w:rsid w:val="00C8208E"/>
    <w:rsid w:val="00C84471"/>
    <w:rsid w:val="00C91860"/>
    <w:rsid w:val="00CA3B86"/>
    <w:rsid w:val="00CB7E39"/>
    <w:rsid w:val="00CF1088"/>
    <w:rsid w:val="00CF5469"/>
    <w:rsid w:val="00D01347"/>
    <w:rsid w:val="00D05565"/>
    <w:rsid w:val="00D05ED1"/>
    <w:rsid w:val="00D06665"/>
    <w:rsid w:val="00D1241C"/>
    <w:rsid w:val="00D331F0"/>
    <w:rsid w:val="00D4098A"/>
    <w:rsid w:val="00D72650"/>
    <w:rsid w:val="00D72C46"/>
    <w:rsid w:val="00D862C8"/>
    <w:rsid w:val="00D86FEE"/>
    <w:rsid w:val="00D926EE"/>
    <w:rsid w:val="00DA0917"/>
    <w:rsid w:val="00DA7348"/>
    <w:rsid w:val="00DB429F"/>
    <w:rsid w:val="00DB453F"/>
    <w:rsid w:val="00DC75B9"/>
    <w:rsid w:val="00DD01E9"/>
    <w:rsid w:val="00DD4288"/>
    <w:rsid w:val="00DD56B8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905C9"/>
    <w:rsid w:val="00EB1DE8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4FD7"/>
    <w:rsid w:val="00F37555"/>
    <w:rsid w:val="00F43FF6"/>
    <w:rsid w:val="00F546FA"/>
    <w:rsid w:val="00F54EB9"/>
    <w:rsid w:val="00F6461F"/>
    <w:rsid w:val="00F8297E"/>
    <w:rsid w:val="00F90EFA"/>
    <w:rsid w:val="00F95829"/>
    <w:rsid w:val="00FA08DC"/>
    <w:rsid w:val="00FA2229"/>
    <w:rsid w:val="00FB312E"/>
    <w:rsid w:val="00FB337E"/>
    <w:rsid w:val="00FB6914"/>
    <w:rsid w:val="00FD199A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2015-01-29T13:47:00Z</dcterms:created>
  <dcterms:modified xsi:type="dcterms:W3CDTF">2015-01-29T13:47:00Z</dcterms:modified>
</cp:coreProperties>
</file>