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97" w:rsidRDefault="007C0497" w:rsidP="007C0497">
      <w:pPr>
        <w:keepNext/>
        <w:spacing w:before="24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color w:val="000000"/>
          <w:kern w:val="36"/>
          <w:sz w:val="24"/>
          <w:szCs w:val="24"/>
          <w:lang w:eastAsia="sk-SK"/>
        </w:rPr>
      </w:pPr>
      <w:r w:rsidRPr="007C0497">
        <w:rPr>
          <w:rFonts w:ascii="Arial" w:eastAsia="Times New Roman" w:hAnsi="Arial" w:cs="Arial"/>
          <w:b/>
          <w:bCs/>
          <w:caps/>
          <w:color w:val="000000"/>
          <w:kern w:val="36"/>
          <w:sz w:val="24"/>
          <w:szCs w:val="24"/>
          <w:lang w:eastAsia="sk-SK"/>
        </w:rPr>
        <w:t>predkladacia správa</w:t>
      </w:r>
    </w:p>
    <w:p w:rsidR="007C0497" w:rsidRPr="007C0497" w:rsidRDefault="007C0497" w:rsidP="007C0497">
      <w:pPr>
        <w:keepNext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bookmarkStart w:id="0" w:name="_GoBack"/>
      <w:bookmarkEnd w:id="0"/>
    </w:p>
    <w:p w:rsidR="007C0497" w:rsidRPr="007C0497" w:rsidRDefault="007C0497" w:rsidP="007C0497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Návrh Národnej stratégie trvalo udržateľného rozvoja (ďalej len “NSTUR”) 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vypracovali v rokoch 1999-2000 s podporou Rozvojového programu OSN (UNDP) v rámci projektu ”Podpora trvalo udržateľného rozvoja v Slovenskej republike” odborníci rôznych odvetví a profesií sústredených pri Regionálnom environmentálnom centre Slovensko.</w:t>
      </w:r>
    </w:p>
    <w:p w:rsidR="007C0497" w:rsidRPr="007C0497" w:rsidRDefault="007C0497" w:rsidP="007C0497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Príprava NSTUR sa uskutočnila v rámci určených spôsobov a zásad tvorby (</w:t>
      </w:r>
      <w:proofErr w:type="spellStart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participatívnosť</w:t>
      </w:r>
      <w:proofErr w:type="spellEnd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, transparentnosť, prístup ”</w:t>
      </w:r>
      <w:proofErr w:type="spellStart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zdola-nahor</w:t>
      </w:r>
      <w:proofErr w:type="spellEnd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”) a vzájomnej koordinácie činností zložiek projektu pod vedením 29-člennej </w:t>
      </w: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Riadiacej komisie pre NSTUR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Výsledkom jej práce bolo zainteresovanie zástupcov všetkých hlavných skupín spoločnosti podľa Agendy 21 do vypracúvania celospoločensky prijateľnej a prospešnej NSTUR, čím došlo </w:t>
      </w: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k realizácii uznesenia vlády SR č. 655/1997 o uplatňovaní Agendy 21 v Slovenskej republike. </w:t>
      </w:r>
    </w:p>
    <w:p w:rsidR="007C0497" w:rsidRPr="007C0497" w:rsidRDefault="007C0497" w:rsidP="007C049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zmysle citovaného uznesenia vlády SR sa zástupcovia všetkých zainteresovaných rezortov podieľali na tvorbe NSTUR ako riešitelia alebo konzultanti. Do </w:t>
      </w: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prípravy dokumentu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sa zapojili početné odborné organizácie rezortov a vedecké inštitúcie (napríklad Výskumný ústav vodného hospodárstva, Slovenská agentúra životného prostredia, Lesnícky výskumný ústav, Slovenský </w:t>
      </w:r>
      <w:proofErr w:type="spellStart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hydrometerologický</w:t>
      </w:r>
      <w:proofErr w:type="spellEnd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ústav, Štátny geologický ústav Dionýza Štúra, Slovenská akadémia vied, Univerzita Komenského, Technická univerzita, Slovenská poľnohospodárska univerzita), odbory (Konfederácia odborových zväzov), podnikateľské a priemyselné subjekty (Asociácia zamestnávateľských zväzov a združení SR, Slovenská obchodná a priemyselná komora), združenia samospráv (Združenie miest a obcí Slovenska, Únia miest a obcí Slovenska), mimovládne organizácie a záujmové združenia (Spoločnosť pre trvalo udržateľný život, </w:t>
      </w:r>
      <w:proofErr w:type="spellStart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Ekopolis</w:t>
      </w:r>
      <w:proofErr w:type="spellEnd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Ľudia a voda, Nadácia </w:t>
      </w:r>
      <w:proofErr w:type="spellStart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Environmental</w:t>
      </w:r>
      <w:proofErr w:type="spellEnd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Training</w:t>
      </w:r>
      <w:proofErr w:type="spellEnd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Project Slovensko a iné). </w:t>
      </w:r>
    </w:p>
    <w:p w:rsidR="007C0497" w:rsidRPr="007C0497" w:rsidRDefault="007C0497" w:rsidP="007C049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Analytickú časť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vypracovali skupiny odborníkov v rozsahu 1810 strán (úvod – 70, prírodné zdroje – 360, ľudské zdroje – 260, kultúrne hľadiská – 150, ekonomické hľadiská – 500, inštitucionálne hľadiská – 370, rizikové faktory - 100). Jej jednotlivé kapitoly </w:t>
      </w:r>
      <w:proofErr w:type="spellStart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zoponovali</w:t>
      </w:r>
      <w:proofErr w:type="spellEnd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nezávislí oponenti. K ďalšiemu posúdeniu odbornou verejnosťou, objektivizácii a načrtnutiu orientácie, štruktúry a zásad stratégie sa 12.-13. apríla 2000 uskutočnil celoslovenský seminár </w:t>
      </w:r>
      <w:r w:rsidRPr="007C0497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”Od analýz k syntézam”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Podľa jeho záverov riešiteľské skupiny upravili analytickú časť dokumentu, vypracovali </w:t>
      </w: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syntézu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prvý ucelený návrh NSTUR. 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Tento návrh bol predložený na verejné pripomienkovanie, na posúdenie v rámci procesu strategického environmentálneho hodnotenia (SEA), na odsúhlasenie Riadiacej komisii pre NSTUR a na </w:t>
      </w: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medzirezortné pripomienkové konanie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ktorého vyhodnotenie sa uvádza osobitne. Z hľadiska uľahčenia štúdia materiálu a jeho systémového členenia sa analytická časť (východisková situácia), ktorá obsahuje aj koncepčné prvky a výzvy, začlenila v zmysle požiadaviek niektorých rezortov do vlastného komplexného návrhu NSTUR. Za jeho jednotlivé kapitoly, resp. </w:t>
      </w:r>
      <w:proofErr w:type="spellStart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subkapitoly</w:t>
      </w:r>
      <w:proofErr w:type="spellEnd"/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zodpovedajú kompetenčne príslušné ústredné orgány štátnej správy 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(gestori ukazovateľov trvalo udržateľného rozvoja (TUR) a kapitol AGENDY 21) a </w:t>
      </w:r>
      <w:r w:rsidRPr="007C04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odborné organizácie</w:t>
      </w: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, disponujúce požadovanými informáciami.</w:t>
      </w:r>
    </w:p>
    <w:p w:rsidR="007C0497" w:rsidRDefault="007C0497" w:rsidP="007C0497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7C0497" w:rsidRDefault="007C0497" w:rsidP="007C0497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7C0497" w:rsidRDefault="007C0497" w:rsidP="007C0497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7C0497" w:rsidRDefault="007C0497" w:rsidP="007C0497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7C0497" w:rsidRDefault="007C0497" w:rsidP="007C0497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7C0497" w:rsidRDefault="007C0497" w:rsidP="007C0497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k-SK"/>
        </w:rPr>
      </w:pPr>
    </w:p>
    <w:p w:rsidR="007C0497" w:rsidRPr="007C0497" w:rsidRDefault="007C0497" w:rsidP="007C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C0497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Medzirezortné pripomienkové konanie bolo ukončené bez rozporov s tým, že jednotlivé pripomienkujúce orgány štátnej správy požiadali o vypustenie opatrení v ich kompetencii z návrhu uznesenia vlády SR a o generalizované znenie ukladacej časti na trvalé „zohľadnenie princípov a kritérií TUR a uplatňovanie zámerov, priorít a cieľov NS TUR v pripravovaných stratégiách, koncepciách, programoch a právnych predpisoch“. S týmto návrhom nesúhlasila Rada vlády SR pre TUR na rokovaní 26. júna 2001 a materiál bol stiahnutý z programu rokovania vlády SR 27. júna 2001, čo spôsobilo kolíziu s plnením Prioritných úloh vlády SR a Plánu práce vlády SR na rok 2001. Následne podľa záverov Rady vlády SR pre TUR došlo k úprave niektorých formulácií a aktualizácii starších štatistických údajov v texte NS TUR a najmä k doplneniu návrhu uznesenia vlády SR o konkrétne opatrenia. Nové znenie prerokovala a upravila Riadiaca komisia k NS TUR 4. septembra 2001, doplnená o zástupcov Ministerstva financií SR a Ministerstva spravodlivosti SR. Takto spoločne odsúhlasený návrh opätovne prerokovala 20. septembra 2001 Rada vlády SR pre TUR, ktorá súhlasila po menších spresňujúcich úpravách textu NS TUR a návrhu uznesenia vlády SR k nej s jej predložením na rokovanie vlády SR v zmenenom termíne do 30. septembra 2001.</w:t>
      </w:r>
    </w:p>
    <w:p w:rsidR="007C0497" w:rsidRDefault="007C0497" w:rsidP="007C0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7C0497" w:rsidRPr="007C0497" w:rsidRDefault="007C0497" w:rsidP="007C0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C0497">
        <w:rPr>
          <w:rFonts w:ascii="Times New Roman" w:eastAsia="Times New Roman" w:hAnsi="Times New Roman" w:cs="Times New Roman"/>
          <w:sz w:val="24"/>
          <w:szCs w:val="24"/>
          <w:lang w:eastAsia="sk-SK"/>
        </w:rPr>
        <w:t>Materiál prerokovala a vzala na vedomie aj Rada hospodárskej a sociálnej dohody SR na svojom plenárnom zasadnutí 29. júna 2001.</w:t>
      </w:r>
    </w:p>
    <w:p w:rsidR="00EB1A11" w:rsidRDefault="00EB1A11"/>
    <w:sectPr w:rsidR="00EB1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97"/>
    <w:rsid w:val="007C0497"/>
    <w:rsid w:val="00EB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7C04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C0497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7C04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C0497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0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2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2014-11-18T09:40:00Z</dcterms:created>
  <dcterms:modified xsi:type="dcterms:W3CDTF">2014-11-18T09:41:00Z</dcterms:modified>
</cp:coreProperties>
</file>