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A32" w:rsidRPr="00060ED3" w:rsidRDefault="00385A32" w:rsidP="00385A32">
      <w:pPr>
        <w:spacing w:before="120" w:after="0" w:line="240" w:lineRule="auto"/>
        <w:jc w:val="both"/>
        <w:rPr>
          <w:rFonts w:asciiTheme="minorHAnsi" w:hAnsiTheme="minorHAnsi" w:cs="Calibri"/>
          <w:b/>
          <w:color w:val="000000"/>
        </w:rPr>
      </w:pPr>
      <w:r w:rsidRPr="00060ED3">
        <w:rPr>
          <w:rFonts w:asciiTheme="minorHAnsi" w:hAnsiTheme="minorHAnsi" w:cs="Calibri"/>
          <w:b/>
          <w:color w:val="000000"/>
        </w:rPr>
        <w:t xml:space="preserve">Príloha č. 1   </w:t>
      </w:r>
    </w:p>
    <w:p w:rsidR="00385A32" w:rsidRPr="00060ED3" w:rsidRDefault="00385A32" w:rsidP="00385A32">
      <w:pPr>
        <w:spacing w:before="120" w:after="0" w:line="240" w:lineRule="auto"/>
        <w:jc w:val="both"/>
        <w:rPr>
          <w:rFonts w:asciiTheme="minorHAnsi" w:hAnsiTheme="minorHAnsi" w:cs="Calibri"/>
          <w:b/>
          <w:color w:val="000000"/>
        </w:rPr>
      </w:pPr>
      <w:r w:rsidRPr="00060ED3">
        <w:rPr>
          <w:rFonts w:asciiTheme="minorHAnsi" w:hAnsiTheme="minorHAnsi" w:cs="Calibri"/>
          <w:b/>
          <w:caps/>
          <w:color w:val="000000"/>
        </w:rPr>
        <w:t>FINANčné a percentuálne LIMITY na vybrané typy výdavkov CEF</w:t>
      </w:r>
    </w:p>
    <w:p w:rsidR="00385A32" w:rsidRPr="00060ED3" w:rsidRDefault="00385A32" w:rsidP="00385A32">
      <w:pPr>
        <w:spacing w:before="120" w:after="0" w:line="240" w:lineRule="auto"/>
        <w:rPr>
          <w:rFonts w:asciiTheme="minorHAnsi" w:hAnsiTheme="minorHAnsi" w:cs="Calibri"/>
          <w:b/>
          <w:color w:val="000000"/>
        </w:rPr>
      </w:pPr>
    </w:p>
    <w:p w:rsidR="00385A32" w:rsidRPr="00060ED3" w:rsidRDefault="00385A32" w:rsidP="00385A32">
      <w:pPr>
        <w:numPr>
          <w:ilvl w:val="3"/>
          <w:numId w:val="1"/>
        </w:numPr>
        <w:spacing w:before="120" w:after="0" w:line="240" w:lineRule="auto"/>
        <w:ind w:left="284" w:hanging="284"/>
        <w:rPr>
          <w:rFonts w:asciiTheme="minorHAnsi" w:hAnsiTheme="minorHAnsi" w:cs="Calibri"/>
          <w:b/>
          <w:color w:val="000000"/>
        </w:rPr>
      </w:pPr>
      <w:bookmarkStart w:id="0" w:name="_GoBack"/>
      <w:r w:rsidRPr="00060ED3">
        <w:rPr>
          <w:rFonts w:asciiTheme="minorHAnsi" w:eastAsia="Times New Roman" w:hAnsiTheme="minorHAnsi" w:cs="Calibri"/>
          <w:b/>
          <w:bCs/>
        </w:rPr>
        <w:t>Maximálna výška priamych výdavkov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4"/>
        <w:gridCol w:w="4678"/>
      </w:tblGrid>
      <w:tr w:rsidR="00385A32" w:rsidRPr="00060ED3" w:rsidTr="00CC2CFE">
        <w:trPr>
          <w:trHeight w:val="654"/>
        </w:trPr>
        <w:tc>
          <w:tcPr>
            <w:tcW w:w="4564" w:type="dxa"/>
            <w:vMerge w:val="restart"/>
            <w:shd w:val="clear" w:color="auto" w:fill="C6D9F1"/>
            <w:noWrap/>
            <w:vAlign w:val="center"/>
            <w:hideMark/>
          </w:tcPr>
          <w:bookmarkEnd w:id="0"/>
          <w:p w:rsidR="00385A32" w:rsidRPr="00060ED3" w:rsidRDefault="00385A32" w:rsidP="00CC2CFE">
            <w:pPr>
              <w:spacing w:after="0"/>
              <w:jc w:val="center"/>
              <w:rPr>
                <w:rFonts w:asciiTheme="minorHAnsi" w:hAnsiTheme="minorHAnsi" w:cs="Calibri"/>
                <w:b/>
              </w:rPr>
            </w:pPr>
            <w:r w:rsidRPr="00060ED3">
              <w:rPr>
                <w:rFonts w:asciiTheme="minorHAnsi" w:eastAsia="Times New Roman" w:hAnsiTheme="minorHAnsi" w:cs="Calibri"/>
                <w:b/>
                <w:bCs/>
              </w:rPr>
              <w:t xml:space="preserve">Maximálna výška celkových </w:t>
            </w:r>
            <w:r>
              <w:rPr>
                <w:rFonts w:asciiTheme="minorHAnsi" w:eastAsia="Times New Roman" w:hAnsiTheme="minorHAnsi" w:cs="Calibri"/>
                <w:b/>
                <w:bCs/>
              </w:rPr>
              <w:t>výdavkov na riadenie projektu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385A32" w:rsidRPr="00060ED3" w:rsidRDefault="00385A32" w:rsidP="00CC2CFE">
            <w:pPr>
              <w:spacing w:after="0"/>
              <w:jc w:val="center"/>
              <w:rPr>
                <w:rFonts w:asciiTheme="minorHAnsi" w:eastAsia="Times New Roman" w:hAnsiTheme="minorHAnsi" w:cs="Calibri"/>
                <w:bCs/>
              </w:rPr>
            </w:pPr>
            <w:r w:rsidRPr="00060ED3">
              <w:rPr>
                <w:rFonts w:asciiTheme="minorHAnsi" w:eastAsia="Times New Roman" w:hAnsiTheme="minorHAnsi" w:cs="Calibri"/>
                <w:b/>
                <w:bCs/>
              </w:rPr>
              <w:t xml:space="preserve">max. </w:t>
            </w:r>
            <w:r>
              <w:rPr>
                <w:rFonts w:asciiTheme="minorHAnsi" w:eastAsia="Times New Roman" w:hAnsiTheme="minorHAnsi" w:cs="Calibri"/>
                <w:b/>
                <w:bCs/>
              </w:rPr>
              <w:t>2</w:t>
            </w:r>
            <w:r w:rsidRPr="00060ED3">
              <w:rPr>
                <w:rFonts w:asciiTheme="minorHAnsi" w:eastAsia="Times New Roman" w:hAnsiTheme="minorHAnsi" w:cs="Calibri"/>
                <w:b/>
                <w:bCs/>
              </w:rPr>
              <w:t xml:space="preserve"> % </w:t>
            </w:r>
            <w:r w:rsidRPr="00060ED3">
              <w:rPr>
                <w:rFonts w:asciiTheme="minorHAnsi" w:eastAsia="Times New Roman" w:hAnsiTheme="minorHAnsi" w:cs="Calibri"/>
                <w:b/>
                <w:bCs/>
              </w:rPr>
              <w:br/>
            </w:r>
            <w:r w:rsidRPr="00060ED3">
              <w:rPr>
                <w:rFonts w:asciiTheme="minorHAnsi" w:eastAsia="Times New Roman" w:hAnsiTheme="minorHAnsi" w:cs="Calibri"/>
                <w:bCs/>
              </w:rPr>
              <w:t xml:space="preserve">z celkových priamych oprávnených výdavkov projektu </w:t>
            </w:r>
          </w:p>
          <w:p w:rsidR="00385A32" w:rsidRPr="00060ED3" w:rsidRDefault="00385A32" w:rsidP="00CC2CFE">
            <w:pPr>
              <w:spacing w:after="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060ED3">
              <w:rPr>
                <w:rFonts w:asciiTheme="minorHAnsi" w:eastAsia="Times New Roman" w:hAnsiTheme="minorHAnsi" w:cs="Calibri"/>
                <w:bCs/>
              </w:rPr>
              <w:t>investičného charakteru</w:t>
            </w:r>
          </w:p>
        </w:tc>
      </w:tr>
      <w:tr w:rsidR="00385A32" w:rsidRPr="00060ED3" w:rsidTr="00CC2CFE">
        <w:trPr>
          <w:trHeight w:val="727"/>
        </w:trPr>
        <w:tc>
          <w:tcPr>
            <w:tcW w:w="4564" w:type="dxa"/>
            <w:vMerge/>
            <w:shd w:val="clear" w:color="auto" w:fill="C6D9F1"/>
            <w:noWrap/>
            <w:vAlign w:val="center"/>
          </w:tcPr>
          <w:p w:rsidR="00385A32" w:rsidRPr="00060ED3" w:rsidRDefault="00385A32" w:rsidP="00CC2CFE">
            <w:pPr>
              <w:spacing w:after="0"/>
              <w:rPr>
                <w:rFonts w:asciiTheme="minorHAnsi" w:eastAsia="Times New Roman" w:hAnsiTheme="minorHAnsi" w:cs="Calibri"/>
                <w:b/>
                <w:bCs/>
                <w:color w:val="FFFFFF"/>
              </w:rPr>
            </w:pPr>
          </w:p>
        </w:tc>
        <w:tc>
          <w:tcPr>
            <w:tcW w:w="4678" w:type="dxa"/>
            <w:shd w:val="clear" w:color="auto" w:fill="auto"/>
            <w:noWrap/>
          </w:tcPr>
          <w:p w:rsidR="00385A32" w:rsidRPr="00060ED3" w:rsidRDefault="00385A32" w:rsidP="00CC2CFE">
            <w:pPr>
              <w:spacing w:after="0"/>
              <w:jc w:val="center"/>
              <w:rPr>
                <w:rFonts w:asciiTheme="minorHAnsi" w:eastAsia="Times New Roman" w:hAnsiTheme="minorHAnsi" w:cs="Calibri"/>
                <w:bCs/>
              </w:rPr>
            </w:pPr>
            <w:r w:rsidRPr="00060ED3">
              <w:rPr>
                <w:rFonts w:asciiTheme="minorHAnsi" w:eastAsia="Times New Roman" w:hAnsiTheme="minorHAnsi" w:cs="Calibri"/>
                <w:b/>
                <w:bCs/>
              </w:rPr>
              <w:t xml:space="preserve">max. </w:t>
            </w:r>
            <w:r>
              <w:rPr>
                <w:rFonts w:asciiTheme="minorHAnsi" w:eastAsia="Times New Roman" w:hAnsiTheme="minorHAnsi" w:cs="Calibri"/>
                <w:b/>
                <w:bCs/>
              </w:rPr>
              <w:t>5</w:t>
            </w:r>
            <w:r w:rsidRPr="00060ED3">
              <w:rPr>
                <w:rFonts w:asciiTheme="minorHAnsi" w:eastAsia="Times New Roman" w:hAnsiTheme="minorHAnsi" w:cs="Calibri"/>
                <w:b/>
                <w:bCs/>
              </w:rPr>
              <w:t xml:space="preserve"> % </w:t>
            </w:r>
            <w:r w:rsidRPr="00060ED3">
              <w:rPr>
                <w:rFonts w:asciiTheme="minorHAnsi" w:eastAsia="Times New Roman" w:hAnsiTheme="minorHAnsi" w:cs="Calibri"/>
                <w:b/>
                <w:bCs/>
              </w:rPr>
              <w:br/>
            </w:r>
            <w:r w:rsidRPr="00060ED3">
              <w:rPr>
                <w:rFonts w:asciiTheme="minorHAnsi" w:eastAsia="Times New Roman" w:hAnsiTheme="minorHAnsi" w:cs="Calibri"/>
                <w:bCs/>
              </w:rPr>
              <w:t xml:space="preserve">z celkových priamych oprávnených výdavkov projektu  </w:t>
            </w:r>
          </w:p>
          <w:p w:rsidR="00385A32" w:rsidRPr="00060ED3" w:rsidRDefault="00385A32" w:rsidP="00CC2CFE">
            <w:pPr>
              <w:spacing w:after="0"/>
              <w:jc w:val="center"/>
              <w:rPr>
                <w:rFonts w:asciiTheme="minorHAnsi" w:eastAsia="Times New Roman" w:hAnsiTheme="minorHAnsi" w:cs="Calibri"/>
                <w:b/>
                <w:bCs/>
              </w:rPr>
            </w:pPr>
            <w:r w:rsidRPr="00060ED3">
              <w:rPr>
                <w:rFonts w:asciiTheme="minorHAnsi" w:eastAsia="Times New Roman" w:hAnsiTheme="minorHAnsi" w:cs="Calibri"/>
                <w:bCs/>
              </w:rPr>
              <w:t>neinvestičného charakteru</w:t>
            </w:r>
          </w:p>
        </w:tc>
      </w:tr>
    </w:tbl>
    <w:p w:rsidR="00385A32" w:rsidRPr="00060ED3" w:rsidRDefault="00385A32" w:rsidP="00385A32">
      <w:pPr>
        <w:spacing w:before="120" w:after="0" w:line="240" w:lineRule="auto"/>
        <w:rPr>
          <w:rFonts w:asciiTheme="minorHAnsi" w:hAnsiTheme="minorHAnsi" w:cs="Calibri"/>
          <w:b/>
          <w:color w:val="000000"/>
        </w:rPr>
      </w:pPr>
    </w:p>
    <w:p w:rsidR="00385A32" w:rsidRPr="00060ED3" w:rsidRDefault="00385A32" w:rsidP="00385A32">
      <w:pPr>
        <w:numPr>
          <w:ilvl w:val="3"/>
          <w:numId w:val="1"/>
        </w:numPr>
        <w:spacing w:before="120" w:after="0" w:line="240" w:lineRule="auto"/>
        <w:ind w:left="284" w:hanging="284"/>
        <w:rPr>
          <w:rFonts w:asciiTheme="minorHAnsi" w:hAnsiTheme="minorHAnsi" w:cs="Calibri"/>
          <w:b/>
          <w:color w:val="000000"/>
        </w:rPr>
      </w:pPr>
      <w:r w:rsidRPr="00060ED3">
        <w:rPr>
          <w:rFonts w:asciiTheme="minorHAnsi" w:hAnsiTheme="minorHAnsi" w:cs="Calibri"/>
          <w:b/>
          <w:color w:val="000000"/>
        </w:rPr>
        <w:t xml:space="preserve">Mzdové výdavky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5B3D7"/>
        <w:tblLook w:val="04A0" w:firstRow="1" w:lastRow="0" w:firstColumn="1" w:lastColumn="0" w:noHBand="0" w:noVBand="1"/>
      </w:tblPr>
      <w:tblGrid>
        <w:gridCol w:w="4536"/>
        <w:gridCol w:w="2339"/>
        <w:gridCol w:w="2339"/>
      </w:tblGrid>
      <w:tr w:rsidR="00385A32" w:rsidRPr="00060ED3" w:rsidTr="00CC2CFE">
        <w:trPr>
          <w:trHeight w:val="579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ind w:hanging="1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060ED3">
              <w:rPr>
                <w:rFonts w:asciiTheme="minorHAnsi" w:hAnsiTheme="minorHAnsi" w:cs="Calibri"/>
                <w:b/>
                <w:bCs/>
              </w:rPr>
              <w:t>Pracovná pozícia</w:t>
            </w:r>
          </w:p>
        </w:tc>
        <w:tc>
          <w:tcPr>
            <w:tcW w:w="2339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ind w:hanging="1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060ED3">
              <w:rPr>
                <w:rFonts w:asciiTheme="minorHAnsi" w:hAnsiTheme="minorHAnsi" w:cs="Calibri"/>
                <w:b/>
                <w:bCs/>
              </w:rPr>
              <w:t>Hodinová hrubá odmena</w:t>
            </w:r>
            <w:r w:rsidRPr="00060ED3">
              <w:rPr>
                <w:rStyle w:val="Odkaznapoznmkupodiarou"/>
                <w:rFonts w:asciiTheme="minorHAnsi" w:hAnsiTheme="minorHAnsi" w:cs="Calibri"/>
                <w:b/>
                <w:bCs/>
                <w:sz w:val="22"/>
              </w:rPr>
              <w:footnoteReference w:id="1"/>
            </w:r>
            <w:r w:rsidRPr="00060ED3">
              <w:rPr>
                <w:rFonts w:asciiTheme="minorHAnsi" w:hAnsiTheme="minorHAnsi" w:cs="Calibri"/>
                <w:b/>
                <w:bCs/>
              </w:rPr>
              <w:t xml:space="preserve">  </w:t>
            </w:r>
          </w:p>
          <w:p w:rsidR="00385A32" w:rsidRPr="00060ED3" w:rsidRDefault="00385A32" w:rsidP="00CC2CF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060ED3">
              <w:rPr>
                <w:rFonts w:asciiTheme="minorHAnsi" w:hAnsiTheme="minorHAnsi" w:cs="Calibri"/>
                <w:b/>
                <w:bCs/>
              </w:rPr>
              <w:t>(v EUR)</w:t>
            </w:r>
          </w:p>
        </w:tc>
        <w:tc>
          <w:tcPr>
            <w:tcW w:w="2339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ind w:hanging="1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060ED3">
              <w:rPr>
                <w:rFonts w:asciiTheme="minorHAnsi" w:hAnsiTheme="minorHAnsi" w:cs="Calibri"/>
                <w:b/>
                <w:bCs/>
              </w:rPr>
              <w:t>Mesačná hrubá mzda</w:t>
            </w:r>
            <w:r w:rsidRPr="00060ED3">
              <w:rPr>
                <w:rStyle w:val="Odkaznapoznmkupodiarou"/>
                <w:rFonts w:asciiTheme="minorHAnsi" w:hAnsiTheme="minorHAnsi" w:cs="Calibri"/>
                <w:b/>
                <w:bCs/>
                <w:sz w:val="22"/>
              </w:rPr>
              <w:footnoteReference w:id="2"/>
            </w:r>
            <w:r w:rsidRPr="00060ED3">
              <w:rPr>
                <w:rFonts w:asciiTheme="minorHAnsi" w:hAnsiTheme="minorHAnsi" w:cs="Calibri"/>
                <w:b/>
                <w:bCs/>
              </w:rPr>
              <w:t xml:space="preserve"> </w:t>
            </w:r>
          </w:p>
          <w:p w:rsidR="00385A32" w:rsidRPr="00060ED3" w:rsidRDefault="00385A32" w:rsidP="00CC2CF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060ED3">
              <w:rPr>
                <w:rFonts w:asciiTheme="minorHAnsi" w:hAnsiTheme="minorHAnsi" w:cs="Calibri"/>
                <w:b/>
                <w:bCs/>
              </w:rPr>
              <w:t>(v EUR)</w:t>
            </w:r>
          </w:p>
        </w:tc>
      </w:tr>
      <w:tr w:rsidR="00385A32" w:rsidRPr="00060ED3" w:rsidTr="00CC2CFE">
        <w:trPr>
          <w:trHeight w:val="397"/>
        </w:trPr>
        <w:tc>
          <w:tcPr>
            <w:tcW w:w="921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060ED3">
              <w:rPr>
                <w:rFonts w:asciiTheme="minorHAnsi" w:hAnsiTheme="minorHAnsi" w:cs="Calibri"/>
                <w:b/>
                <w:color w:val="000000"/>
              </w:rPr>
              <w:t>Interné riadenie projektu – nepriame výdavky projektu</w:t>
            </w:r>
          </w:p>
        </w:tc>
      </w:tr>
      <w:tr w:rsidR="00385A32" w:rsidRPr="00060ED3" w:rsidTr="00CC2CFE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85A32" w:rsidRPr="00060ED3" w:rsidRDefault="00385A32" w:rsidP="00CC2CFE">
            <w:pPr>
              <w:tabs>
                <w:tab w:val="center" w:pos="2224"/>
              </w:tabs>
              <w:spacing w:before="120" w:after="0" w:line="240" w:lineRule="auto"/>
              <w:rPr>
                <w:rFonts w:asciiTheme="minorHAnsi" w:hAnsiTheme="minorHAnsi" w:cs="Calibri"/>
                <w:b/>
              </w:rPr>
            </w:pPr>
            <w:r w:rsidRPr="00060ED3">
              <w:rPr>
                <w:rFonts w:asciiTheme="minorHAnsi" w:hAnsiTheme="minorHAnsi" w:cs="Calibri"/>
                <w:b/>
              </w:rPr>
              <w:t>Manažér / expert pre verejné obstarávanie</w:t>
            </w:r>
            <w:r w:rsidRPr="00060ED3">
              <w:rPr>
                <w:rFonts w:asciiTheme="minorHAnsi" w:hAnsiTheme="minorHAnsi" w:cs="Calibri"/>
                <w:bCs/>
              </w:rPr>
              <w:t xml:space="preserve">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hAnsiTheme="minorHAnsi" w:cs="Calibri"/>
                <w:bCs/>
              </w:rPr>
            </w:pPr>
            <w:r w:rsidRPr="00060ED3">
              <w:rPr>
                <w:rFonts w:asciiTheme="minorHAnsi" w:hAnsiTheme="minorHAnsi" w:cs="Calibri"/>
                <w:bCs/>
              </w:rPr>
              <w:t xml:space="preserve">11.20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hAnsiTheme="minorHAnsi" w:cs="Calibri"/>
              </w:rPr>
            </w:pPr>
            <w:r w:rsidRPr="00060ED3">
              <w:rPr>
                <w:rFonts w:asciiTheme="minorHAnsi" w:hAnsiTheme="minorHAnsi" w:cs="Calibri"/>
              </w:rPr>
              <w:t xml:space="preserve">1 948 </w:t>
            </w:r>
          </w:p>
        </w:tc>
      </w:tr>
      <w:tr w:rsidR="00385A32" w:rsidRPr="00060ED3" w:rsidTr="00CC2CFE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hAnsiTheme="minorHAnsi" w:cs="Calibri"/>
                <w:b/>
              </w:rPr>
            </w:pPr>
            <w:r w:rsidRPr="00060ED3">
              <w:rPr>
                <w:rFonts w:asciiTheme="minorHAnsi" w:hAnsiTheme="minorHAnsi" w:cs="Calibri"/>
                <w:b/>
              </w:rPr>
              <w:t>Projektový manažér (riadenie projektu)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hAnsiTheme="minorHAnsi" w:cs="Calibri"/>
                <w:bCs/>
              </w:rPr>
            </w:pPr>
            <w:r w:rsidRPr="00060ED3">
              <w:rPr>
                <w:rFonts w:asciiTheme="minorHAnsi" w:hAnsiTheme="minorHAnsi" w:cs="Calibri"/>
                <w:bCs/>
              </w:rPr>
              <w:t xml:space="preserve">13,99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hAnsiTheme="minorHAnsi" w:cs="Calibri"/>
              </w:rPr>
            </w:pPr>
            <w:r w:rsidRPr="00060ED3">
              <w:rPr>
                <w:rFonts w:asciiTheme="minorHAnsi" w:hAnsiTheme="minorHAnsi" w:cs="Calibri"/>
              </w:rPr>
              <w:t xml:space="preserve">2 434 </w:t>
            </w:r>
          </w:p>
        </w:tc>
      </w:tr>
      <w:tr w:rsidR="00385A32" w:rsidRPr="00060ED3" w:rsidTr="00CC2CFE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85A32" w:rsidRPr="00060ED3" w:rsidRDefault="00385A32" w:rsidP="00CC2CFE">
            <w:pPr>
              <w:tabs>
                <w:tab w:val="center" w:pos="2224"/>
              </w:tabs>
              <w:spacing w:before="120" w:after="0" w:line="240" w:lineRule="auto"/>
              <w:rPr>
                <w:rFonts w:asciiTheme="minorHAnsi" w:hAnsiTheme="minorHAnsi" w:cs="Calibri"/>
                <w:b/>
              </w:rPr>
            </w:pPr>
            <w:r w:rsidRPr="00060ED3">
              <w:rPr>
                <w:rFonts w:asciiTheme="minorHAnsi" w:hAnsiTheme="minorHAnsi" w:cs="Calibri"/>
                <w:b/>
              </w:rPr>
              <w:t>Manažér pre investičnú činnosť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hAnsiTheme="minorHAnsi" w:cs="Calibri"/>
                <w:bCs/>
              </w:rPr>
            </w:pPr>
            <w:r w:rsidRPr="00060ED3">
              <w:rPr>
                <w:rFonts w:asciiTheme="minorHAnsi" w:hAnsiTheme="minorHAnsi" w:cs="Calibri"/>
                <w:bCs/>
              </w:rPr>
              <w:t xml:space="preserve">9,01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hAnsiTheme="minorHAnsi" w:cs="Calibri"/>
              </w:rPr>
            </w:pPr>
            <w:r w:rsidRPr="00060ED3">
              <w:rPr>
                <w:rFonts w:asciiTheme="minorHAnsi" w:hAnsiTheme="minorHAnsi" w:cs="Calibri"/>
              </w:rPr>
              <w:t xml:space="preserve">1 567 </w:t>
            </w:r>
          </w:p>
        </w:tc>
      </w:tr>
      <w:tr w:rsidR="00385A32" w:rsidRPr="00060ED3" w:rsidTr="00CC2CFE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85A32" w:rsidRPr="00060ED3" w:rsidDel="00EF5507" w:rsidRDefault="00385A32" w:rsidP="00CC2CFE">
            <w:pPr>
              <w:tabs>
                <w:tab w:val="center" w:pos="2224"/>
              </w:tabs>
              <w:spacing w:before="120" w:after="0" w:line="240" w:lineRule="auto"/>
              <w:rPr>
                <w:rFonts w:asciiTheme="minorHAnsi" w:hAnsiTheme="minorHAnsi" w:cs="Calibri"/>
                <w:b/>
              </w:rPr>
            </w:pPr>
            <w:r w:rsidRPr="00060ED3">
              <w:rPr>
                <w:rFonts w:asciiTheme="minorHAnsi" w:hAnsiTheme="minorHAnsi" w:cs="Calibri"/>
                <w:b/>
              </w:rPr>
              <w:t>Finančný manažér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hAnsiTheme="minorHAnsi" w:cs="Calibri"/>
                <w:bCs/>
              </w:rPr>
            </w:pPr>
            <w:r w:rsidRPr="00060ED3">
              <w:rPr>
                <w:rFonts w:asciiTheme="minorHAnsi" w:hAnsiTheme="minorHAnsi" w:cs="Calibri"/>
                <w:bCs/>
              </w:rPr>
              <w:t xml:space="preserve">12,39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hAnsiTheme="minorHAnsi" w:cs="Calibri"/>
              </w:rPr>
            </w:pPr>
            <w:r w:rsidRPr="00060ED3">
              <w:rPr>
                <w:rFonts w:asciiTheme="minorHAnsi" w:hAnsiTheme="minorHAnsi" w:cs="Calibri"/>
              </w:rPr>
              <w:t xml:space="preserve">2 156 </w:t>
            </w:r>
          </w:p>
        </w:tc>
      </w:tr>
      <w:tr w:rsidR="00385A32" w:rsidRPr="00060ED3" w:rsidTr="00CC2CFE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85A32" w:rsidRPr="00060ED3" w:rsidRDefault="00385A32" w:rsidP="00CC2CFE">
            <w:pPr>
              <w:tabs>
                <w:tab w:val="center" w:pos="2224"/>
              </w:tabs>
              <w:spacing w:before="120" w:after="0" w:line="240" w:lineRule="auto"/>
              <w:rPr>
                <w:rFonts w:asciiTheme="minorHAnsi" w:hAnsiTheme="minorHAnsi" w:cs="Calibri"/>
                <w:b/>
              </w:rPr>
            </w:pPr>
            <w:r w:rsidRPr="00060ED3">
              <w:rPr>
                <w:rFonts w:asciiTheme="minorHAnsi" w:hAnsiTheme="minorHAnsi" w:cs="Calibri"/>
                <w:b/>
              </w:rPr>
              <w:t>Asistent projektového / finančného manažéra, administratívny pracovník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hAnsiTheme="minorHAnsi" w:cs="Calibri"/>
                <w:bCs/>
              </w:rPr>
            </w:pPr>
            <w:r w:rsidRPr="00060ED3">
              <w:rPr>
                <w:rFonts w:asciiTheme="minorHAnsi" w:hAnsiTheme="minorHAnsi" w:cs="Calibri"/>
                <w:bCs/>
              </w:rPr>
              <w:t xml:space="preserve">4,71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hAnsiTheme="minorHAnsi" w:cs="Calibri"/>
              </w:rPr>
            </w:pPr>
            <w:r w:rsidRPr="00060ED3">
              <w:rPr>
                <w:rFonts w:asciiTheme="minorHAnsi" w:hAnsiTheme="minorHAnsi" w:cs="Calibri"/>
              </w:rPr>
              <w:t xml:space="preserve">819 </w:t>
            </w:r>
          </w:p>
        </w:tc>
      </w:tr>
    </w:tbl>
    <w:p w:rsidR="00385A32" w:rsidRPr="00060ED3" w:rsidRDefault="00385A32" w:rsidP="00385A32">
      <w:pPr>
        <w:spacing w:before="120" w:after="0" w:line="240" w:lineRule="auto"/>
        <w:rPr>
          <w:rFonts w:asciiTheme="minorHAnsi" w:hAnsiTheme="minorHAnsi" w:cs="Calibri"/>
          <w:b/>
          <w:color w:val="000000"/>
        </w:rPr>
      </w:pPr>
    </w:p>
    <w:p w:rsidR="00385A32" w:rsidRPr="00060ED3" w:rsidRDefault="00385A32" w:rsidP="00385A32">
      <w:pPr>
        <w:numPr>
          <w:ilvl w:val="3"/>
          <w:numId w:val="1"/>
        </w:numPr>
        <w:spacing w:before="120" w:after="0" w:line="240" w:lineRule="auto"/>
        <w:ind w:left="284" w:hanging="284"/>
        <w:rPr>
          <w:rFonts w:asciiTheme="minorHAnsi" w:hAnsiTheme="minorHAnsi" w:cs="Calibri"/>
          <w:b/>
          <w:color w:val="000000"/>
        </w:rPr>
      </w:pPr>
      <w:r w:rsidRPr="00060ED3">
        <w:rPr>
          <w:rFonts w:asciiTheme="minorHAnsi" w:hAnsiTheme="minorHAnsi" w:cs="Calibri"/>
          <w:b/>
          <w:color w:val="000000"/>
        </w:rPr>
        <w:t>Stravné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385A32" w:rsidRPr="00060ED3" w:rsidTr="00CC2CFE">
        <w:trPr>
          <w:trHeight w:val="661"/>
        </w:trPr>
        <w:tc>
          <w:tcPr>
            <w:tcW w:w="2268" w:type="dxa"/>
            <w:shd w:val="clear" w:color="auto" w:fill="C6D9F1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hAnsiTheme="minorHAnsi" w:cs="Calibri"/>
                <w:b/>
              </w:rPr>
            </w:pPr>
            <w:r w:rsidRPr="00060ED3">
              <w:rPr>
                <w:rFonts w:asciiTheme="minorHAnsi" w:hAnsiTheme="minorHAnsi" w:cs="Calibri"/>
                <w:b/>
                <w:bCs/>
              </w:rPr>
              <w:t>Pracovná cesta v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5A32" w:rsidRPr="00060ED3" w:rsidRDefault="00385A32" w:rsidP="00CC2CF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sk-SK"/>
              </w:rPr>
            </w:pPr>
            <w:r w:rsidRPr="00060ED3">
              <w:rPr>
                <w:rFonts w:asciiTheme="minorHAnsi" w:eastAsia="Times New Roman" w:hAnsiTheme="minorHAnsi"/>
                <w:lang w:eastAsia="sk-SK"/>
              </w:rPr>
              <w:t>Podľa aktuálne platného</w:t>
            </w:r>
          </w:p>
          <w:p w:rsidR="00385A32" w:rsidRPr="00060ED3" w:rsidRDefault="00385A32" w:rsidP="00CC2CF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494949"/>
                <w:lang w:eastAsia="sk-SK"/>
              </w:rPr>
            </w:pPr>
            <w:r w:rsidRPr="00060ED3">
              <w:rPr>
                <w:rFonts w:asciiTheme="minorHAnsi" w:eastAsia="Times New Roman" w:hAnsiTheme="minorHAnsi"/>
                <w:b/>
                <w:color w:val="494949"/>
                <w:lang w:eastAsia="sk-SK"/>
              </w:rPr>
              <w:t>OPATRENIA Ministerstva práce, sociálnych vecí a rodiny Slovenskej republiky o sumách stravného</w:t>
            </w:r>
          </w:p>
          <w:p w:rsidR="00385A32" w:rsidRPr="00060ED3" w:rsidRDefault="00385A32" w:rsidP="00CC2CF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494949"/>
                <w:lang w:eastAsia="sk-SK"/>
              </w:rPr>
            </w:pPr>
            <w:hyperlink r:id="rId8" w:history="1">
              <w:r w:rsidRPr="00060ED3">
                <w:rPr>
                  <w:rStyle w:val="Hypertextovprepojenie"/>
                  <w:rFonts w:asciiTheme="minorHAnsi" w:eastAsia="Times New Roman" w:hAnsiTheme="minorHAnsi"/>
                  <w:lang w:eastAsia="sk-SK"/>
                </w:rPr>
                <w:t>https://www.employment.gov.sk/sk/legislativa/pracovna-legislativa/</w:t>
              </w:r>
            </w:hyperlink>
          </w:p>
        </w:tc>
      </w:tr>
      <w:tr w:rsidR="00385A32" w:rsidRPr="00060ED3" w:rsidTr="00CC2CFE">
        <w:trPr>
          <w:trHeight w:val="661"/>
        </w:trPr>
        <w:tc>
          <w:tcPr>
            <w:tcW w:w="2268" w:type="dxa"/>
            <w:shd w:val="clear" w:color="auto" w:fill="C6D9F1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hAnsiTheme="minorHAnsi" w:cs="Calibri"/>
                <w:b/>
                <w:bCs/>
              </w:rPr>
            </w:pPr>
            <w:r w:rsidRPr="00060ED3">
              <w:rPr>
                <w:rFonts w:asciiTheme="minorHAnsi" w:hAnsiTheme="minorHAnsi" w:cs="Calibri"/>
                <w:b/>
                <w:bCs/>
              </w:rPr>
              <w:t xml:space="preserve">Pracovná cesta v zahraničí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5A32" w:rsidRPr="00060ED3" w:rsidRDefault="00385A32" w:rsidP="00CC2CF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sk-SK"/>
              </w:rPr>
            </w:pPr>
            <w:r w:rsidRPr="00060ED3">
              <w:rPr>
                <w:rFonts w:asciiTheme="minorHAnsi" w:eastAsia="Times New Roman" w:hAnsiTheme="minorHAnsi"/>
                <w:lang w:eastAsia="sk-SK"/>
              </w:rPr>
              <w:t>Podľa aktuálne platného</w:t>
            </w:r>
          </w:p>
          <w:p w:rsidR="00385A32" w:rsidRPr="00060ED3" w:rsidRDefault="00385A32" w:rsidP="00CC2CF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494949"/>
                <w:lang w:eastAsia="sk-SK"/>
              </w:rPr>
            </w:pPr>
            <w:r w:rsidRPr="00060ED3">
              <w:rPr>
                <w:rFonts w:asciiTheme="minorHAnsi" w:eastAsia="Times New Roman" w:hAnsiTheme="minorHAnsi"/>
                <w:b/>
                <w:color w:val="494949"/>
                <w:lang w:eastAsia="sk-SK"/>
              </w:rPr>
              <w:t xml:space="preserve">OPATRENIA Ministerstva financií Slovenskej republiky, ktorým sa ustanovujú základné sadzby stravného v eurách alebo v cudzej mene pri zahraničných pracovných cestách </w:t>
            </w:r>
          </w:p>
          <w:p w:rsidR="00385A32" w:rsidRPr="00060ED3" w:rsidRDefault="00385A32" w:rsidP="00CC2CF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</w:rPr>
            </w:pPr>
            <w:hyperlink r:id="rId9" w:history="1">
              <w:r w:rsidRPr="00060ED3">
                <w:rPr>
                  <w:rStyle w:val="Hypertextovprepojenie"/>
                  <w:rFonts w:asciiTheme="minorHAnsi" w:eastAsia="Times New Roman" w:hAnsiTheme="minorHAnsi"/>
                  <w:lang w:eastAsia="sk-SK"/>
                </w:rPr>
                <w:t>https://www.employment.gov.sk/sk/legislativa/pracovna-legislativa/</w:t>
              </w:r>
            </w:hyperlink>
          </w:p>
        </w:tc>
      </w:tr>
    </w:tbl>
    <w:p w:rsidR="00385A32" w:rsidRPr="00060ED3" w:rsidRDefault="00385A32" w:rsidP="00385A32">
      <w:pPr>
        <w:spacing w:before="120" w:after="0" w:line="240" w:lineRule="auto"/>
        <w:rPr>
          <w:rFonts w:asciiTheme="minorHAnsi" w:hAnsiTheme="minorHAnsi" w:cs="Calibri"/>
          <w:b/>
          <w:color w:val="000000"/>
        </w:rPr>
      </w:pPr>
    </w:p>
    <w:p w:rsidR="00385A32" w:rsidRPr="00060ED3" w:rsidRDefault="00385A32" w:rsidP="00385A32">
      <w:pPr>
        <w:numPr>
          <w:ilvl w:val="3"/>
          <w:numId w:val="1"/>
        </w:numPr>
        <w:spacing w:before="120" w:after="0" w:line="240" w:lineRule="auto"/>
        <w:ind w:left="284" w:hanging="284"/>
        <w:rPr>
          <w:rFonts w:asciiTheme="minorHAnsi" w:hAnsiTheme="minorHAnsi" w:cs="Calibri"/>
          <w:b/>
          <w:color w:val="000000"/>
        </w:rPr>
      </w:pPr>
      <w:r w:rsidRPr="00060ED3">
        <w:rPr>
          <w:rFonts w:asciiTheme="minorHAnsi" w:hAnsiTheme="minorHAnsi" w:cs="Calibri"/>
          <w:b/>
          <w:color w:val="000000"/>
        </w:rPr>
        <w:t>Cestovné náhrady na ubytovanie mimo krajín EÚ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7"/>
        <w:gridCol w:w="4607"/>
      </w:tblGrid>
      <w:tr w:rsidR="00385A32" w:rsidRPr="00060ED3" w:rsidTr="00CC2CFE">
        <w:trPr>
          <w:trHeight w:val="661"/>
        </w:trPr>
        <w:tc>
          <w:tcPr>
            <w:tcW w:w="4607" w:type="dxa"/>
            <w:shd w:val="clear" w:color="auto" w:fill="C6D9F1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hAnsiTheme="minorHAnsi" w:cs="Calibri"/>
                <w:b/>
              </w:rPr>
            </w:pPr>
            <w:r w:rsidRPr="00060ED3">
              <w:rPr>
                <w:rFonts w:asciiTheme="minorHAnsi" w:hAnsiTheme="minorHAnsi" w:cs="Calibri"/>
                <w:b/>
                <w:bCs/>
              </w:rPr>
              <w:t>Finančný limit  cestovných náhrad za ubytovanie v krajinách mimo EÚ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385A32" w:rsidRPr="00060ED3" w:rsidRDefault="00385A32" w:rsidP="00CC2CFE">
            <w:pPr>
              <w:pStyle w:val="Textpoznmkypodiarou"/>
              <w:spacing w:before="120"/>
              <w:jc w:val="center"/>
              <w:rPr>
                <w:rFonts w:asciiTheme="minorHAnsi" w:hAnsiTheme="minorHAnsi"/>
                <w:sz w:val="22"/>
                <w:szCs w:val="22"/>
                <w:lang w:val="sk-SK"/>
              </w:rPr>
            </w:pPr>
            <w:r w:rsidRPr="00060ED3">
              <w:rPr>
                <w:rFonts w:asciiTheme="minorHAnsi" w:eastAsia="Calibri" w:hAnsiTheme="minorHAnsi" w:cs="Calibri"/>
                <w:b/>
                <w:sz w:val="22"/>
                <w:szCs w:val="22"/>
                <w:lang w:val="sk-SK"/>
              </w:rPr>
              <w:t xml:space="preserve">173,- EUR/noc </w:t>
            </w:r>
            <w:r w:rsidRPr="00060ED3">
              <w:rPr>
                <w:rFonts w:asciiTheme="minorHAnsi" w:eastAsia="Calibri" w:hAnsiTheme="minorHAnsi" w:cs="Calibri"/>
                <w:sz w:val="22"/>
                <w:szCs w:val="22"/>
                <w:lang w:val="sk-SK"/>
              </w:rPr>
              <w:t>za ubytovanie mimo EÚ</w:t>
            </w:r>
          </w:p>
        </w:tc>
      </w:tr>
    </w:tbl>
    <w:p w:rsidR="00385A32" w:rsidRPr="00060ED3" w:rsidRDefault="00385A32" w:rsidP="00385A32">
      <w:pPr>
        <w:spacing w:before="120" w:after="0" w:line="240" w:lineRule="auto"/>
        <w:rPr>
          <w:rFonts w:asciiTheme="minorHAnsi" w:hAnsiTheme="minorHAnsi" w:cs="Calibri"/>
          <w:b/>
          <w:color w:val="000000"/>
        </w:rPr>
      </w:pPr>
    </w:p>
    <w:p w:rsidR="00385A32" w:rsidRPr="00060ED3" w:rsidRDefault="00385A32" w:rsidP="00385A32">
      <w:pPr>
        <w:numPr>
          <w:ilvl w:val="3"/>
          <w:numId w:val="1"/>
        </w:numPr>
        <w:spacing w:before="120" w:after="0" w:line="240" w:lineRule="auto"/>
        <w:ind w:left="284" w:hanging="284"/>
        <w:rPr>
          <w:rFonts w:asciiTheme="minorHAnsi" w:hAnsiTheme="minorHAnsi" w:cs="Calibri"/>
          <w:b/>
          <w:color w:val="000000"/>
        </w:rPr>
      </w:pPr>
      <w:r w:rsidRPr="00060ED3">
        <w:rPr>
          <w:rFonts w:asciiTheme="minorHAnsi" w:hAnsiTheme="minorHAnsi" w:cs="Calibri"/>
          <w:b/>
          <w:color w:val="000000"/>
        </w:rPr>
        <w:t>Cestovné náhrady na ubytovanie v rámci krajín EÚ</w:t>
      </w:r>
    </w:p>
    <w:tbl>
      <w:tblPr>
        <w:tblW w:w="920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3"/>
      </w:tblGrid>
      <w:tr w:rsidR="00385A32" w:rsidRPr="00060ED3" w:rsidTr="00CC2CFE">
        <w:trPr>
          <w:trHeight w:val="527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060ED3">
              <w:rPr>
                <w:rFonts w:asciiTheme="minorHAnsi" w:eastAsia="Times New Roman" w:hAnsiTheme="minorHAnsi" w:cs="Arial"/>
                <w:b/>
                <w:bCs/>
              </w:rPr>
              <w:t>Finančné limity cestovných náhrad za ubytovanie v krajinách EÚ</w:t>
            </w:r>
          </w:p>
        </w:tc>
      </w:tr>
      <w:tr w:rsidR="00385A32" w:rsidRPr="00060ED3" w:rsidTr="00CC2CFE">
        <w:trPr>
          <w:trHeight w:val="540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</w:rPr>
            </w:pPr>
            <w:r w:rsidRPr="00060ED3">
              <w:rPr>
                <w:rFonts w:asciiTheme="minorHAnsi" w:eastAsia="Times New Roman" w:hAnsiTheme="minorHAnsi" w:cs="Arial"/>
              </w:rPr>
              <w:t>Štát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bottom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</w:rPr>
            </w:pPr>
            <w:r w:rsidRPr="00060ED3">
              <w:rPr>
                <w:rFonts w:asciiTheme="minorHAnsi" w:eastAsia="Times New Roman" w:hAnsiTheme="minorHAnsi" w:cs="Arial"/>
              </w:rPr>
              <w:t xml:space="preserve">Maximálna sadzba v EUR/noc vrátane DPH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</w:rPr>
            </w:pPr>
            <w:r w:rsidRPr="00060ED3">
              <w:rPr>
                <w:rFonts w:asciiTheme="minorHAnsi" w:eastAsia="Times New Roman" w:hAnsiTheme="minorHAnsi" w:cs="Arial"/>
              </w:rPr>
              <w:t>Štát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bottom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</w:rPr>
            </w:pPr>
            <w:r w:rsidRPr="00060ED3">
              <w:rPr>
                <w:rFonts w:asciiTheme="minorHAnsi" w:eastAsia="Times New Roman" w:hAnsiTheme="minorHAnsi" w:cs="Arial"/>
              </w:rPr>
              <w:t xml:space="preserve">Maximálna sadzba v EUR/noc vrátane DPH </w:t>
            </w:r>
          </w:p>
        </w:tc>
      </w:tr>
      <w:tr w:rsidR="00385A32" w:rsidRPr="00060ED3" w:rsidTr="00CC2CF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Rakúsko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130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Taliansko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135</w:t>
            </w:r>
          </w:p>
        </w:tc>
      </w:tr>
      <w:tr w:rsidR="00385A32" w:rsidRPr="00060ED3" w:rsidTr="00CC2CF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Belgicko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Lotyšsko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145</w:t>
            </w:r>
          </w:p>
        </w:tc>
      </w:tr>
      <w:tr w:rsidR="00385A32" w:rsidRPr="00060ED3" w:rsidTr="00CC2CF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Bulharsko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169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Litva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115</w:t>
            </w:r>
          </w:p>
        </w:tc>
      </w:tr>
      <w:tr w:rsidR="00385A32" w:rsidRPr="00060ED3" w:rsidTr="00CC2CF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 xml:space="preserve">Cyprus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145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Luxembursko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145</w:t>
            </w:r>
          </w:p>
        </w:tc>
      </w:tr>
      <w:tr w:rsidR="00385A32" w:rsidRPr="00060ED3" w:rsidTr="00CC2CF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Česká republika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155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 xml:space="preserve">Malta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115</w:t>
            </w:r>
          </w:p>
        </w:tc>
      </w:tr>
      <w:tr w:rsidR="00385A32" w:rsidRPr="00060ED3" w:rsidTr="00CC2CF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Dánsko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Holandsko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170</w:t>
            </w:r>
          </w:p>
        </w:tc>
      </w:tr>
      <w:tr w:rsidR="00385A32" w:rsidRPr="00060ED3" w:rsidTr="00CC2CF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Estónsko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110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Poľsko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145</w:t>
            </w:r>
          </w:p>
        </w:tc>
      </w:tr>
      <w:tr w:rsidR="00385A32" w:rsidRPr="00060ED3" w:rsidTr="00CC2CF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Fínsko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Portugalsko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120</w:t>
            </w:r>
          </w:p>
        </w:tc>
      </w:tr>
      <w:tr w:rsidR="00385A32" w:rsidRPr="00060ED3" w:rsidTr="00CC2CF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Francúzsko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Rumunsko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170</w:t>
            </w:r>
          </w:p>
        </w:tc>
      </w:tr>
      <w:tr w:rsidR="00385A32" w:rsidRPr="00060ED3" w:rsidTr="00CC2CF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Nemecko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115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b/>
                <w:bCs/>
                <w:color w:val="000000"/>
              </w:rPr>
              <w:t>Slovensko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b/>
                <w:bCs/>
                <w:color w:val="000000"/>
              </w:rPr>
              <w:t>125</w:t>
            </w:r>
          </w:p>
        </w:tc>
      </w:tr>
      <w:tr w:rsidR="00385A32" w:rsidRPr="00060ED3" w:rsidTr="00CC2CF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Grécko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Slovinsko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110</w:t>
            </w:r>
          </w:p>
        </w:tc>
      </w:tr>
      <w:tr w:rsidR="00385A32" w:rsidRPr="00060ED3" w:rsidTr="00CC2CF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Chorvátsko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120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Španielsko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125</w:t>
            </w:r>
          </w:p>
        </w:tc>
      </w:tr>
      <w:tr w:rsidR="00385A32" w:rsidRPr="00060ED3" w:rsidTr="00CC2CF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Maďarsko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Švédsko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160</w:t>
            </w:r>
          </w:p>
        </w:tc>
      </w:tr>
      <w:tr w:rsidR="00385A32" w:rsidRPr="00060ED3" w:rsidTr="00CC2CF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Írsko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Veľká Británia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060ED3">
              <w:rPr>
                <w:rFonts w:asciiTheme="minorHAnsi" w:eastAsia="Times New Roman" w:hAnsiTheme="minorHAnsi" w:cs="Arial"/>
                <w:color w:val="000000"/>
              </w:rPr>
              <w:t>175</w:t>
            </w:r>
          </w:p>
        </w:tc>
      </w:tr>
    </w:tbl>
    <w:p w:rsidR="00385A32" w:rsidRPr="00060ED3" w:rsidRDefault="00385A32" w:rsidP="00385A32">
      <w:pPr>
        <w:spacing w:before="120" w:after="0" w:line="240" w:lineRule="auto"/>
        <w:rPr>
          <w:rFonts w:asciiTheme="minorHAnsi" w:hAnsiTheme="minorHAnsi" w:cs="Calibri"/>
          <w:b/>
          <w:color w:val="000000"/>
        </w:rPr>
      </w:pPr>
    </w:p>
    <w:p w:rsidR="00385A32" w:rsidRPr="00060ED3" w:rsidRDefault="00385A32" w:rsidP="00385A32">
      <w:pPr>
        <w:numPr>
          <w:ilvl w:val="3"/>
          <w:numId w:val="1"/>
        </w:numPr>
        <w:spacing w:before="120" w:after="0" w:line="240" w:lineRule="auto"/>
        <w:ind w:left="284" w:hanging="284"/>
        <w:rPr>
          <w:rFonts w:asciiTheme="minorHAnsi" w:hAnsiTheme="minorHAnsi" w:cs="Calibri"/>
          <w:b/>
          <w:color w:val="000000"/>
        </w:rPr>
      </w:pPr>
      <w:r w:rsidRPr="00060ED3">
        <w:rPr>
          <w:rFonts w:asciiTheme="minorHAnsi" w:hAnsiTheme="minorHAnsi" w:cs="Calibri"/>
          <w:b/>
          <w:color w:val="000000"/>
        </w:rPr>
        <w:t>Informovanie a komunikácia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7"/>
        <w:gridCol w:w="4607"/>
      </w:tblGrid>
      <w:tr w:rsidR="00385A32" w:rsidRPr="00060ED3" w:rsidTr="00CC2CFE">
        <w:trPr>
          <w:trHeight w:val="661"/>
        </w:trPr>
        <w:tc>
          <w:tcPr>
            <w:tcW w:w="4607" w:type="dxa"/>
            <w:shd w:val="clear" w:color="auto" w:fill="C6D9F1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hAnsiTheme="minorHAnsi" w:cs="Calibri"/>
                <w:b/>
              </w:rPr>
            </w:pPr>
            <w:r w:rsidRPr="00060ED3">
              <w:rPr>
                <w:rFonts w:asciiTheme="minorHAnsi" w:hAnsiTheme="minorHAnsi" w:cs="Calibri"/>
                <w:b/>
                <w:bCs/>
              </w:rPr>
              <w:t xml:space="preserve">Dočasný pútač a stála tabuľa 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hAnsiTheme="minorHAnsi" w:cs="Calibri"/>
                <w:b/>
              </w:rPr>
            </w:pPr>
            <w:r w:rsidRPr="00060ED3">
              <w:rPr>
                <w:rFonts w:asciiTheme="minorHAnsi" w:hAnsiTheme="minorHAnsi" w:cs="Calibri"/>
                <w:b/>
              </w:rPr>
              <w:t>max. 2000,- EUR bez DPH / 1 pútač / tabuľa</w:t>
            </w:r>
          </w:p>
          <w:p w:rsidR="00385A32" w:rsidRPr="00060ED3" w:rsidRDefault="00385A32" w:rsidP="00CC2CFE">
            <w:pPr>
              <w:pStyle w:val="Textpoznmkypodiarou"/>
              <w:spacing w:before="120"/>
              <w:jc w:val="center"/>
              <w:rPr>
                <w:rFonts w:asciiTheme="minorHAnsi" w:hAnsiTheme="minorHAnsi"/>
                <w:sz w:val="22"/>
                <w:szCs w:val="22"/>
                <w:lang w:val="sk-SK"/>
              </w:rPr>
            </w:pPr>
            <w:r w:rsidRPr="00060ED3">
              <w:rPr>
                <w:rFonts w:asciiTheme="minorHAnsi" w:hAnsiTheme="minorHAnsi" w:cs="Calibri"/>
                <w:sz w:val="22"/>
                <w:szCs w:val="22"/>
                <w:lang w:val="sk-SK"/>
              </w:rPr>
              <w:t>vrátane nákladov súvisiacich s obstarávaním (náklady na výrobu, prepravu, inštaláciu atď.)</w:t>
            </w:r>
          </w:p>
        </w:tc>
      </w:tr>
      <w:tr w:rsidR="00385A32" w:rsidRPr="00060ED3" w:rsidTr="00CC2CFE">
        <w:trPr>
          <w:trHeight w:val="661"/>
        </w:trPr>
        <w:tc>
          <w:tcPr>
            <w:tcW w:w="4607" w:type="dxa"/>
            <w:shd w:val="clear" w:color="auto" w:fill="C6D9F1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rPr>
                <w:rFonts w:asciiTheme="minorHAnsi" w:hAnsiTheme="minorHAnsi" w:cs="Calibri"/>
                <w:b/>
                <w:bCs/>
              </w:rPr>
            </w:pPr>
            <w:r w:rsidRPr="00060ED3">
              <w:rPr>
                <w:rFonts w:asciiTheme="minorHAnsi" w:hAnsiTheme="minorHAnsi" w:cs="Calibri"/>
                <w:b/>
                <w:bCs/>
              </w:rPr>
              <w:t>Plagát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hAnsiTheme="minorHAnsi" w:cs="Calibri"/>
                <w:b/>
              </w:rPr>
            </w:pPr>
            <w:r w:rsidRPr="00060ED3">
              <w:rPr>
                <w:rFonts w:asciiTheme="minorHAnsi" w:hAnsiTheme="minorHAnsi" w:cs="Calibri"/>
                <w:b/>
              </w:rPr>
              <w:t xml:space="preserve">max. 30,-  EUR bez DPH / 1 plagát </w:t>
            </w:r>
          </w:p>
          <w:p w:rsidR="00385A32" w:rsidRPr="00060ED3" w:rsidRDefault="00385A32" w:rsidP="00CC2CFE">
            <w:pPr>
              <w:spacing w:before="120" w:after="0" w:line="240" w:lineRule="auto"/>
              <w:jc w:val="center"/>
              <w:rPr>
                <w:rFonts w:asciiTheme="minorHAnsi" w:hAnsiTheme="minorHAnsi" w:cs="Calibri"/>
                <w:b/>
              </w:rPr>
            </w:pPr>
            <w:r w:rsidRPr="00060ED3">
              <w:rPr>
                <w:rFonts w:asciiTheme="minorHAnsi" w:hAnsiTheme="minorHAnsi" w:cs="Calibri"/>
              </w:rPr>
              <w:t>vrátane nákladov súvisiacich s obstarávaním (náklady na výrobu, prepravu, inštaláciu atď.)</w:t>
            </w:r>
          </w:p>
        </w:tc>
      </w:tr>
    </w:tbl>
    <w:p w:rsidR="00385A32" w:rsidRPr="00060ED3" w:rsidRDefault="00385A32" w:rsidP="00385A32">
      <w:pPr>
        <w:spacing w:before="120" w:after="0" w:line="240" w:lineRule="auto"/>
        <w:rPr>
          <w:rFonts w:asciiTheme="minorHAnsi" w:hAnsiTheme="minorHAnsi"/>
          <w:b/>
        </w:rPr>
        <w:sectPr w:rsidR="00385A32" w:rsidRPr="00060ED3" w:rsidSect="00752221">
          <w:headerReference w:type="first" r:id="rId10"/>
          <w:footerReference w:type="first" r:id="rId11"/>
          <w:pgSz w:w="11906" w:h="16838" w:code="9"/>
          <w:pgMar w:top="1417" w:right="1417" w:bottom="1417" w:left="1417" w:header="708" w:footer="708" w:gutter="0"/>
          <w:pgNumType w:start="3"/>
          <w:cols w:space="708"/>
          <w:titlePg/>
          <w:docGrid w:linePitch="360"/>
        </w:sectPr>
      </w:pPr>
    </w:p>
    <w:p w:rsidR="00385A32" w:rsidRPr="00060ED3" w:rsidRDefault="00385A32" w:rsidP="00385A32">
      <w:pPr>
        <w:shd w:val="clear" w:color="auto" w:fill="FFFFFF"/>
        <w:spacing w:before="120" w:after="0" w:line="240" w:lineRule="auto"/>
        <w:rPr>
          <w:rFonts w:asciiTheme="minorHAnsi" w:hAnsiTheme="minorHAnsi"/>
          <w:color w:val="000000"/>
        </w:rPr>
      </w:pPr>
    </w:p>
    <w:p w:rsidR="00385A32" w:rsidRPr="00060ED3" w:rsidRDefault="00385A32" w:rsidP="00385A32">
      <w:pPr>
        <w:numPr>
          <w:ilvl w:val="3"/>
          <w:numId w:val="1"/>
        </w:numPr>
        <w:spacing w:before="120" w:after="0" w:line="240" w:lineRule="auto"/>
        <w:ind w:left="284" w:hanging="284"/>
        <w:rPr>
          <w:rFonts w:asciiTheme="minorHAnsi" w:hAnsiTheme="minorHAnsi"/>
          <w:b/>
          <w:color w:val="000000"/>
        </w:rPr>
      </w:pPr>
      <w:r w:rsidRPr="00060ED3">
        <w:rPr>
          <w:rFonts w:asciiTheme="minorHAnsi" w:hAnsiTheme="minorHAnsi"/>
          <w:b/>
          <w:color w:val="000000"/>
        </w:rPr>
        <w:t>Percentuálne limity na výdavky na stavebný dozor</w:t>
      </w:r>
    </w:p>
    <w:tbl>
      <w:tblPr>
        <w:tblW w:w="496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6"/>
        <w:gridCol w:w="3403"/>
        <w:gridCol w:w="2835"/>
      </w:tblGrid>
      <w:tr w:rsidR="00385A32" w:rsidRPr="00060ED3" w:rsidTr="00CC2CFE">
        <w:trPr>
          <w:trHeight w:val="20"/>
        </w:trPr>
        <w:tc>
          <w:tcPr>
            <w:tcW w:w="3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385A32" w:rsidRPr="00060ED3" w:rsidRDefault="00385A32" w:rsidP="00CC2CFE">
            <w:pPr>
              <w:spacing w:beforeLines="60" w:before="144" w:after="60" w:line="240" w:lineRule="auto"/>
              <w:jc w:val="center"/>
              <w:rPr>
                <w:rFonts w:asciiTheme="minorHAnsi" w:hAnsiTheme="minorHAnsi"/>
              </w:rPr>
            </w:pPr>
            <w:r w:rsidRPr="00060ED3">
              <w:rPr>
                <w:rFonts w:asciiTheme="minorHAnsi" w:hAnsiTheme="minorHAnsi"/>
                <w:b/>
              </w:rPr>
              <w:t xml:space="preserve">Hodnota oprávnených výdavkov na stavebné práce v EUR </w:t>
            </w:r>
            <w:r w:rsidRPr="00060ED3">
              <w:rPr>
                <w:rFonts w:asciiTheme="minorHAnsi" w:hAnsiTheme="minorHAnsi"/>
              </w:rPr>
              <w:t>bez DPH</w:t>
            </w:r>
          </w:p>
          <w:p w:rsidR="00385A32" w:rsidRPr="00060ED3" w:rsidRDefault="00385A32" w:rsidP="00CC2CFE">
            <w:pPr>
              <w:spacing w:beforeLines="60" w:before="144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060ED3">
              <w:rPr>
                <w:rFonts w:asciiTheme="minorHAnsi" w:hAnsiTheme="minorHAnsi"/>
              </w:rPr>
              <w:t>(v EUR)</w:t>
            </w:r>
          </w:p>
        </w:tc>
        <w:tc>
          <w:tcPr>
            <w:tcW w:w="1550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385A32" w:rsidRPr="00060ED3" w:rsidRDefault="00385A32" w:rsidP="00CC2CFE">
            <w:pPr>
              <w:spacing w:beforeLines="60" w:before="144" w:after="60" w:line="240" w:lineRule="auto"/>
              <w:jc w:val="center"/>
              <w:rPr>
                <w:rFonts w:asciiTheme="minorHAnsi" w:hAnsiTheme="minorHAnsi"/>
              </w:rPr>
            </w:pPr>
            <w:r w:rsidRPr="00060ED3">
              <w:rPr>
                <w:rFonts w:asciiTheme="minorHAnsi" w:hAnsiTheme="minorHAnsi"/>
                <w:b/>
              </w:rPr>
              <w:t>Percentuálny limit</w:t>
            </w:r>
            <w:r w:rsidRPr="00060ED3">
              <w:rPr>
                <w:rFonts w:asciiTheme="minorHAnsi" w:hAnsiTheme="minorHAnsi"/>
              </w:rPr>
              <w:t xml:space="preserve"> OV na stavebný dozor</w:t>
            </w:r>
            <w:r w:rsidRPr="00060ED3">
              <w:rPr>
                <w:rFonts w:asciiTheme="minorHAnsi" w:hAnsiTheme="minorHAnsi"/>
              </w:rPr>
              <w:br/>
              <w:t>(z objemu OV na stavebné práce)</w:t>
            </w:r>
          </w:p>
        </w:tc>
      </w:tr>
      <w:tr w:rsidR="00385A32" w:rsidRPr="00060ED3" w:rsidTr="00CC2CFE">
        <w:trPr>
          <w:trHeight w:val="20"/>
        </w:trPr>
        <w:tc>
          <w:tcPr>
            <w:tcW w:w="1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  <w:hideMark/>
          </w:tcPr>
          <w:p w:rsidR="00385A32" w:rsidRPr="00060ED3" w:rsidRDefault="00385A32" w:rsidP="00CC2CFE">
            <w:pPr>
              <w:spacing w:beforeLines="60" w:before="144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060ED3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  <w:hideMark/>
          </w:tcPr>
          <w:p w:rsidR="00385A32" w:rsidRPr="00060ED3" w:rsidRDefault="00385A32" w:rsidP="00CC2CFE">
            <w:pPr>
              <w:spacing w:beforeLines="60" w:before="144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060ED3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1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32" w:rsidRPr="00060ED3" w:rsidRDefault="00385A32" w:rsidP="00CC2CFE">
            <w:pPr>
              <w:spacing w:beforeLines="60" w:before="144" w:after="60" w:line="240" w:lineRule="auto"/>
              <w:rPr>
                <w:rFonts w:asciiTheme="minorHAnsi" w:hAnsiTheme="minorHAnsi"/>
              </w:rPr>
            </w:pPr>
          </w:p>
        </w:tc>
      </w:tr>
      <w:tr w:rsidR="00385A32" w:rsidRPr="00060ED3" w:rsidTr="00CC2CFE">
        <w:trPr>
          <w:trHeight w:val="686"/>
        </w:trPr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385A32" w:rsidRPr="00060ED3" w:rsidRDefault="00385A32" w:rsidP="00CC2CFE">
            <w:pPr>
              <w:spacing w:beforeLines="60" w:before="144" w:after="60" w:line="240" w:lineRule="auto"/>
              <w:jc w:val="center"/>
              <w:rPr>
                <w:rFonts w:asciiTheme="minorHAnsi" w:hAnsiTheme="minorHAnsi"/>
              </w:rPr>
            </w:pPr>
            <w:r w:rsidRPr="00060ED3">
              <w:rPr>
                <w:rFonts w:asciiTheme="minorHAnsi" w:hAnsiTheme="minorHAnsi"/>
              </w:rPr>
              <w:t>0,00</w:t>
            </w:r>
          </w:p>
        </w:tc>
        <w:tc>
          <w:tcPr>
            <w:tcW w:w="1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385A32" w:rsidRPr="00060ED3" w:rsidRDefault="00385A32" w:rsidP="00CC2CFE">
            <w:pPr>
              <w:spacing w:beforeLines="60" w:before="144" w:after="60" w:line="240" w:lineRule="auto"/>
              <w:jc w:val="center"/>
              <w:rPr>
                <w:rFonts w:asciiTheme="minorHAnsi" w:hAnsiTheme="minorHAnsi"/>
              </w:rPr>
            </w:pPr>
            <w:r w:rsidRPr="00060ED3">
              <w:rPr>
                <w:rFonts w:asciiTheme="minorHAnsi" w:hAnsiTheme="minorHAnsi"/>
              </w:rPr>
              <w:t>30 000 000,00</w:t>
            </w:r>
          </w:p>
        </w:tc>
        <w:tc>
          <w:tcPr>
            <w:tcW w:w="1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Lines="60" w:before="144" w:after="6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060ED3">
              <w:rPr>
                <w:rFonts w:asciiTheme="minorHAnsi" w:hAnsiTheme="minorHAnsi"/>
                <w:b/>
                <w:bCs/>
              </w:rPr>
              <w:t xml:space="preserve">max. 3,50 </w:t>
            </w:r>
            <w:r w:rsidRPr="00060ED3">
              <w:rPr>
                <w:rFonts w:asciiTheme="minorHAnsi" w:hAnsiTheme="minorHAnsi"/>
              </w:rPr>
              <w:t>%</w:t>
            </w:r>
          </w:p>
        </w:tc>
      </w:tr>
      <w:tr w:rsidR="00385A32" w:rsidRPr="00060ED3" w:rsidTr="00CC2CFE">
        <w:trPr>
          <w:trHeight w:val="686"/>
        </w:trPr>
        <w:tc>
          <w:tcPr>
            <w:tcW w:w="1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385A32" w:rsidRPr="00060ED3" w:rsidRDefault="00385A32" w:rsidP="00CC2CFE">
            <w:pPr>
              <w:spacing w:beforeLines="60" w:before="144" w:after="60" w:line="240" w:lineRule="auto"/>
              <w:jc w:val="center"/>
              <w:rPr>
                <w:rFonts w:asciiTheme="minorHAnsi" w:hAnsiTheme="minorHAnsi"/>
              </w:rPr>
            </w:pPr>
            <w:r w:rsidRPr="00060ED3">
              <w:rPr>
                <w:rFonts w:asciiTheme="minorHAnsi" w:hAnsiTheme="minorHAnsi"/>
              </w:rPr>
              <w:t>30 000 000,01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385A32" w:rsidRPr="00060ED3" w:rsidRDefault="00385A32" w:rsidP="00CC2CFE">
            <w:pPr>
              <w:spacing w:beforeLines="60" w:before="144" w:after="60" w:line="240" w:lineRule="auto"/>
              <w:jc w:val="center"/>
              <w:rPr>
                <w:rFonts w:asciiTheme="minorHAnsi" w:hAnsiTheme="minorHAnsi"/>
              </w:rPr>
            </w:pPr>
            <w:r w:rsidRPr="00060ED3">
              <w:rPr>
                <w:rFonts w:asciiTheme="minorHAnsi" w:hAnsiTheme="minorHAnsi"/>
              </w:rPr>
              <w:t>100 000 000,00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Lines="60" w:before="144" w:after="6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060ED3">
              <w:rPr>
                <w:rFonts w:asciiTheme="minorHAnsi" w:hAnsiTheme="minorHAnsi"/>
                <w:b/>
                <w:bCs/>
              </w:rPr>
              <w:t xml:space="preserve">max. 3,00 </w:t>
            </w:r>
            <w:r w:rsidRPr="00060ED3">
              <w:rPr>
                <w:rFonts w:asciiTheme="minorHAnsi" w:hAnsiTheme="minorHAnsi"/>
              </w:rPr>
              <w:t>%</w:t>
            </w:r>
          </w:p>
        </w:tc>
      </w:tr>
      <w:tr w:rsidR="00385A32" w:rsidRPr="00060ED3" w:rsidTr="00CC2CFE">
        <w:trPr>
          <w:trHeight w:val="686"/>
        </w:trPr>
        <w:tc>
          <w:tcPr>
            <w:tcW w:w="1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385A32" w:rsidRPr="00060ED3" w:rsidRDefault="00385A32" w:rsidP="00CC2CFE">
            <w:pPr>
              <w:spacing w:beforeLines="60" w:before="144" w:after="60" w:line="240" w:lineRule="auto"/>
              <w:jc w:val="center"/>
              <w:rPr>
                <w:rFonts w:asciiTheme="minorHAnsi" w:hAnsiTheme="minorHAnsi"/>
              </w:rPr>
            </w:pPr>
            <w:r w:rsidRPr="00060ED3">
              <w:rPr>
                <w:rFonts w:asciiTheme="minorHAnsi" w:hAnsiTheme="minorHAnsi"/>
              </w:rPr>
              <w:t>100 000 000,01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385A32" w:rsidRPr="00060ED3" w:rsidRDefault="00385A32" w:rsidP="00CC2CFE">
            <w:pPr>
              <w:spacing w:beforeLines="60" w:before="144" w:after="60" w:line="240" w:lineRule="auto"/>
              <w:jc w:val="center"/>
              <w:rPr>
                <w:rFonts w:asciiTheme="minorHAnsi" w:hAnsiTheme="minorHAnsi"/>
              </w:rPr>
            </w:pPr>
            <w:r w:rsidRPr="00060ED3">
              <w:rPr>
                <w:rFonts w:asciiTheme="minorHAnsi" w:hAnsiTheme="minorHAnsi"/>
              </w:rPr>
              <w:t>a viac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32" w:rsidRPr="00060ED3" w:rsidRDefault="00385A32" w:rsidP="00CC2CFE">
            <w:pPr>
              <w:spacing w:beforeLines="60" w:before="144" w:after="6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060ED3">
              <w:rPr>
                <w:rFonts w:asciiTheme="minorHAnsi" w:hAnsiTheme="minorHAnsi"/>
                <w:b/>
                <w:bCs/>
              </w:rPr>
              <w:t xml:space="preserve">max. 2,50 </w:t>
            </w:r>
            <w:r w:rsidRPr="00060ED3">
              <w:rPr>
                <w:rFonts w:asciiTheme="minorHAnsi" w:hAnsiTheme="minorHAnsi"/>
              </w:rPr>
              <w:t>%</w:t>
            </w:r>
          </w:p>
        </w:tc>
      </w:tr>
    </w:tbl>
    <w:p w:rsidR="00385A32" w:rsidRPr="00060ED3" w:rsidRDefault="00385A32" w:rsidP="00385A32">
      <w:pPr>
        <w:rPr>
          <w:rFonts w:asciiTheme="minorHAnsi" w:hAnsiTheme="minorHAnsi"/>
        </w:rPr>
      </w:pPr>
    </w:p>
    <w:p w:rsidR="00385A32" w:rsidRPr="00060ED3" w:rsidRDefault="00385A32" w:rsidP="00385A32">
      <w:pPr>
        <w:rPr>
          <w:rFonts w:asciiTheme="minorHAnsi" w:hAnsiTheme="minorHAnsi"/>
        </w:rPr>
      </w:pPr>
    </w:p>
    <w:p w:rsidR="00385A32" w:rsidRPr="00060ED3" w:rsidRDefault="00385A32" w:rsidP="00385A32">
      <w:pPr>
        <w:rPr>
          <w:rFonts w:asciiTheme="minorHAnsi" w:hAnsiTheme="minorHAnsi"/>
        </w:rPr>
      </w:pPr>
    </w:p>
    <w:p w:rsidR="00385A32" w:rsidRPr="00060ED3" w:rsidRDefault="00385A32" w:rsidP="00385A32">
      <w:pPr>
        <w:rPr>
          <w:rFonts w:asciiTheme="minorHAnsi" w:hAnsiTheme="minorHAnsi"/>
        </w:rPr>
      </w:pPr>
    </w:p>
    <w:p w:rsidR="00385A32" w:rsidRPr="00060ED3" w:rsidRDefault="00385A32" w:rsidP="00385A32">
      <w:pPr>
        <w:rPr>
          <w:rFonts w:asciiTheme="minorHAnsi" w:hAnsiTheme="minorHAnsi"/>
        </w:rPr>
      </w:pPr>
    </w:p>
    <w:p w:rsidR="00385A32" w:rsidRPr="00060ED3" w:rsidRDefault="00385A32" w:rsidP="00385A32">
      <w:pPr>
        <w:rPr>
          <w:rFonts w:asciiTheme="minorHAnsi" w:hAnsiTheme="minorHAnsi"/>
        </w:rPr>
      </w:pPr>
    </w:p>
    <w:p w:rsidR="00385A32" w:rsidRPr="00060ED3" w:rsidRDefault="00385A32" w:rsidP="00385A32">
      <w:pPr>
        <w:rPr>
          <w:rFonts w:asciiTheme="minorHAnsi" w:hAnsiTheme="minorHAnsi"/>
        </w:rPr>
      </w:pPr>
    </w:p>
    <w:p w:rsidR="00B17DA4" w:rsidRDefault="00B17DA4"/>
    <w:sectPr w:rsidR="00B17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ED5" w:rsidRDefault="00962ED5" w:rsidP="00385A32">
      <w:pPr>
        <w:spacing w:after="0" w:line="240" w:lineRule="auto"/>
      </w:pPr>
      <w:r>
        <w:separator/>
      </w:r>
    </w:p>
  </w:endnote>
  <w:endnote w:type="continuationSeparator" w:id="0">
    <w:p w:rsidR="00962ED5" w:rsidRDefault="00962ED5" w:rsidP="00385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CD072A" w:rsidRPr="00CE29B4" w:rsidTr="00CC2CFE">
      <w:trPr>
        <w:trHeight w:hRule="exact" w:val="284"/>
      </w:trPr>
      <w:tc>
        <w:tcPr>
          <w:tcW w:w="3794" w:type="dxa"/>
          <w:shd w:val="clear" w:color="auto" w:fill="auto"/>
        </w:tcPr>
        <w:p w:rsidR="00CD072A" w:rsidRPr="00DE0C72" w:rsidRDefault="00CD072A" w:rsidP="00CC2CFE">
          <w:pPr>
            <w:pStyle w:val="Hlavika"/>
            <w:ind w:left="142" w:hanging="142"/>
            <w:rPr>
              <w:rFonts w:cs="Calibri"/>
              <w:lang w:val="sk-SK"/>
            </w:rPr>
          </w:pPr>
          <w:r w:rsidRPr="00DE0C72">
            <w:rPr>
              <w:rFonts w:cs="Calibri"/>
              <w:sz w:val="20"/>
              <w:lang w:val="sk-SK"/>
            </w:rPr>
            <w:t xml:space="preserve">Príručka k oprávnenosti výdavkov </w:t>
          </w:r>
          <w:r>
            <w:rPr>
              <w:rFonts w:cs="Calibri"/>
              <w:sz w:val="20"/>
              <w:lang w:val="sk-SK"/>
            </w:rPr>
            <w:t>CEF</w:t>
          </w:r>
        </w:p>
        <w:p w:rsidR="00CD072A" w:rsidRPr="00DE0C72" w:rsidRDefault="00CD072A" w:rsidP="00CC2CFE">
          <w:pPr>
            <w:pStyle w:val="Hlavika"/>
            <w:ind w:left="142" w:hanging="142"/>
            <w:rPr>
              <w:rFonts w:cs="Calibri"/>
              <w:lang w:val="sk-SK"/>
            </w:rPr>
          </w:pPr>
        </w:p>
      </w:tc>
      <w:tc>
        <w:tcPr>
          <w:tcW w:w="2126" w:type="dxa"/>
          <w:shd w:val="clear" w:color="auto" w:fill="auto"/>
        </w:tcPr>
        <w:p w:rsidR="00CD072A" w:rsidRPr="00DE0C72" w:rsidRDefault="00CD072A" w:rsidP="00CC2CFE">
          <w:pPr>
            <w:pStyle w:val="Hlavika"/>
            <w:ind w:left="142" w:hanging="142"/>
            <w:jc w:val="center"/>
            <w:rPr>
              <w:rFonts w:cs="Calibri"/>
              <w:sz w:val="20"/>
              <w:lang w:val="sk-SK"/>
            </w:rPr>
          </w:pPr>
          <w:r w:rsidRPr="00DE0C72">
            <w:rPr>
              <w:rFonts w:cs="Calibri"/>
              <w:sz w:val="20"/>
              <w:lang w:val="sk-SK"/>
            </w:rPr>
            <w:t xml:space="preserve">Verzia </w:t>
          </w:r>
          <w:r>
            <w:rPr>
              <w:rFonts w:cs="Calibri"/>
              <w:sz w:val="20"/>
              <w:lang w:val="sk-SK"/>
            </w:rPr>
            <w:t>1.0</w:t>
          </w:r>
        </w:p>
      </w:tc>
      <w:tc>
        <w:tcPr>
          <w:tcW w:w="3402" w:type="dxa"/>
          <w:shd w:val="clear" w:color="auto" w:fill="auto"/>
        </w:tcPr>
        <w:p w:rsidR="00CD072A" w:rsidRPr="00DE0C72" w:rsidRDefault="00CD072A" w:rsidP="00CC2CFE">
          <w:pPr>
            <w:pStyle w:val="Hlavika"/>
            <w:ind w:left="142" w:hanging="142"/>
            <w:jc w:val="right"/>
            <w:rPr>
              <w:rFonts w:cs="Calibri"/>
              <w:sz w:val="20"/>
              <w:lang w:val="sk-SK"/>
            </w:rPr>
          </w:pPr>
          <w:r w:rsidRPr="00DE0C72">
            <w:rPr>
              <w:rFonts w:cs="Calibri"/>
              <w:sz w:val="20"/>
              <w:lang w:val="sk-SK"/>
            </w:rPr>
            <w:t xml:space="preserve">Platnosť: </w:t>
          </w:r>
        </w:p>
      </w:tc>
    </w:tr>
  </w:tbl>
  <w:p w:rsidR="00CD072A" w:rsidRDefault="00CD072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ED5" w:rsidRDefault="00962ED5" w:rsidP="00385A32">
      <w:pPr>
        <w:spacing w:after="0" w:line="240" w:lineRule="auto"/>
      </w:pPr>
      <w:r>
        <w:separator/>
      </w:r>
    </w:p>
  </w:footnote>
  <w:footnote w:type="continuationSeparator" w:id="0">
    <w:p w:rsidR="00962ED5" w:rsidRDefault="00962ED5" w:rsidP="00385A32">
      <w:pPr>
        <w:spacing w:after="0" w:line="240" w:lineRule="auto"/>
      </w:pPr>
      <w:r>
        <w:continuationSeparator/>
      </w:r>
    </w:p>
  </w:footnote>
  <w:footnote w:id="1">
    <w:p w:rsidR="00385A32" w:rsidRPr="00C243F5" w:rsidRDefault="00385A32" w:rsidP="00385A3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16"/>
          <w:szCs w:val="16"/>
        </w:rPr>
      </w:pPr>
      <w:r w:rsidRPr="00C243F5">
        <w:rPr>
          <w:rStyle w:val="Odkaznapoznmkupodiarou"/>
          <w:rFonts w:asciiTheme="minorHAnsi" w:hAnsiTheme="minorHAnsi"/>
        </w:rPr>
        <w:footnoteRef/>
      </w:r>
      <w:r w:rsidRPr="00C243F5">
        <w:rPr>
          <w:rFonts w:asciiTheme="minorHAnsi" w:hAnsiTheme="minorHAnsi"/>
          <w:sz w:val="16"/>
          <w:szCs w:val="16"/>
        </w:rPr>
        <w:t xml:space="preserve"> Limit platí pre </w:t>
      </w:r>
      <w:r w:rsidRPr="00C243F5">
        <w:rPr>
          <w:rFonts w:asciiTheme="minorHAnsi" w:hAnsiTheme="minorHAnsi" w:cs="ArialNarrow"/>
          <w:sz w:val="16"/>
          <w:szCs w:val="16"/>
          <w:lang w:eastAsia="sk-SK"/>
        </w:rPr>
        <w:t xml:space="preserve">osobu, ktorá pracuje na projekte </w:t>
      </w:r>
      <w:r w:rsidRPr="00C243F5">
        <w:rPr>
          <w:rFonts w:asciiTheme="minorHAnsi" w:hAnsiTheme="minorHAnsi" w:cs="ArialNarrow"/>
          <w:b/>
          <w:sz w:val="16"/>
          <w:szCs w:val="16"/>
          <w:lang w:eastAsia="sk-SK"/>
        </w:rPr>
        <w:t>na základe dohody o práci vykonávanej mimo pracovného pomeru</w:t>
      </w:r>
      <w:r w:rsidRPr="00C243F5">
        <w:rPr>
          <w:rFonts w:asciiTheme="minorHAnsi" w:hAnsiTheme="minorHAnsi" w:cs="ArialNarrow"/>
          <w:sz w:val="16"/>
          <w:szCs w:val="16"/>
          <w:lang w:eastAsia="sk-SK"/>
        </w:rPr>
        <w:t xml:space="preserve"> (mimo pracovným pomerom sa rozumejú vzťahy uzatvorené v zmysle ustanovení §§ 223 až 228a zákona č. 311/2001 Z. z. Zákonníka práce v znení neskorších predpisov). Oprávneným výdavkom je </w:t>
      </w:r>
      <w:r w:rsidRPr="00C243F5">
        <w:rPr>
          <w:rFonts w:asciiTheme="minorHAnsi" w:hAnsiTheme="minorHAnsi" w:cs="ArialNarrow,Bold"/>
          <w:b/>
          <w:bCs/>
          <w:sz w:val="16"/>
          <w:szCs w:val="16"/>
          <w:lang w:eastAsia="sk-SK"/>
        </w:rPr>
        <w:t>cena práce</w:t>
      </w:r>
      <w:r w:rsidRPr="00C243F5">
        <w:rPr>
          <w:rFonts w:asciiTheme="minorHAnsi" w:hAnsiTheme="minorHAnsi" w:cs="ArialNarrow"/>
          <w:sz w:val="16"/>
          <w:szCs w:val="16"/>
          <w:lang w:eastAsia="sk-SK"/>
        </w:rPr>
        <w:t xml:space="preserve">, t.j. hrubá hodinová odmena, ohraničená uvedeným finančným limitom, a jej zodpovedajúce (do tejto sumy nezapočítané) zákonné odvody zamestnávateľa. </w:t>
      </w:r>
      <w:r w:rsidRPr="00C243F5">
        <w:rPr>
          <w:rFonts w:asciiTheme="minorHAnsi" w:hAnsiTheme="minorHAnsi" w:cs="Calibri"/>
          <w:sz w:val="16"/>
          <w:szCs w:val="16"/>
        </w:rPr>
        <w:t>Za hodinu sa považuje 60 minút.</w:t>
      </w:r>
    </w:p>
  </w:footnote>
  <w:footnote w:id="2">
    <w:p w:rsidR="00385A32" w:rsidRPr="00956F72" w:rsidRDefault="00385A32" w:rsidP="00385A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8"/>
          <w:szCs w:val="18"/>
        </w:rPr>
      </w:pPr>
      <w:r w:rsidRPr="00C243F5">
        <w:rPr>
          <w:rStyle w:val="Odkaznapoznmkupodiarou"/>
          <w:rFonts w:asciiTheme="minorHAnsi" w:hAnsiTheme="minorHAnsi" w:cs="Calibri"/>
        </w:rPr>
        <w:footnoteRef/>
      </w:r>
      <w:r w:rsidRPr="00C243F5">
        <w:rPr>
          <w:rFonts w:asciiTheme="minorHAnsi" w:hAnsiTheme="minorHAnsi" w:cs="Calibri"/>
          <w:sz w:val="16"/>
          <w:szCs w:val="16"/>
        </w:rPr>
        <w:t xml:space="preserve"> </w:t>
      </w:r>
      <w:r w:rsidRPr="00C243F5">
        <w:rPr>
          <w:rFonts w:asciiTheme="minorHAnsi" w:hAnsiTheme="minorHAnsi"/>
          <w:sz w:val="16"/>
          <w:szCs w:val="16"/>
        </w:rPr>
        <w:t xml:space="preserve">Limit platí pre </w:t>
      </w:r>
      <w:r w:rsidRPr="00C243F5">
        <w:rPr>
          <w:rFonts w:asciiTheme="minorHAnsi" w:hAnsiTheme="minorHAnsi" w:cs="ArialNarrow"/>
          <w:sz w:val="16"/>
          <w:szCs w:val="16"/>
          <w:lang w:eastAsia="sk-SK"/>
        </w:rPr>
        <w:t xml:space="preserve">osobu, ktorá pracuje na projekte </w:t>
      </w:r>
      <w:r w:rsidRPr="00C243F5">
        <w:rPr>
          <w:rFonts w:asciiTheme="minorHAnsi" w:hAnsiTheme="minorHAnsi" w:cs="ArialNarrow"/>
          <w:b/>
          <w:sz w:val="16"/>
          <w:szCs w:val="16"/>
          <w:lang w:eastAsia="sk-SK"/>
        </w:rPr>
        <w:t>na základe pracovného pomeru / štátnozamestnaneckého pomeru</w:t>
      </w:r>
      <w:r w:rsidRPr="00C243F5">
        <w:rPr>
          <w:rFonts w:asciiTheme="minorHAnsi" w:hAnsiTheme="minorHAnsi" w:cs="ArialNarrow"/>
          <w:sz w:val="16"/>
          <w:szCs w:val="16"/>
          <w:lang w:eastAsia="sk-SK"/>
        </w:rPr>
        <w:t xml:space="preserve">. Oprávneným výdavkom je </w:t>
      </w:r>
      <w:r w:rsidRPr="00C243F5">
        <w:rPr>
          <w:rFonts w:asciiTheme="minorHAnsi" w:hAnsiTheme="minorHAnsi" w:cs="ArialNarrow,Bold"/>
          <w:b/>
          <w:bCs/>
          <w:sz w:val="16"/>
          <w:szCs w:val="16"/>
          <w:lang w:eastAsia="sk-SK"/>
        </w:rPr>
        <w:t>cena práce</w:t>
      </w:r>
      <w:r w:rsidRPr="00C243F5">
        <w:rPr>
          <w:rFonts w:asciiTheme="minorHAnsi" w:hAnsiTheme="minorHAnsi" w:cs="ArialNarrow"/>
          <w:sz w:val="16"/>
          <w:szCs w:val="16"/>
          <w:lang w:eastAsia="sk-SK"/>
        </w:rPr>
        <w:t xml:space="preserve">, t.j. hrubá mesačná mzda, ohraničená uvedeným finančným limitom, a jej zodpovedajúce (do tejto sumy nezapočítané) zákonné odvody zamestnávateľa. Uvedený finančný limit sa aplikuje v prípade plného (100 %) pracovného úväzku </w:t>
      </w:r>
      <w:r w:rsidRPr="00C243F5">
        <w:rPr>
          <w:rFonts w:asciiTheme="minorHAnsi" w:hAnsiTheme="minorHAnsi" w:cs="Calibri"/>
          <w:sz w:val="16"/>
          <w:szCs w:val="16"/>
        </w:rPr>
        <w:t xml:space="preserve">a 100% </w:t>
      </w:r>
      <w:proofErr w:type="spellStart"/>
      <w:r w:rsidRPr="00C243F5">
        <w:rPr>
          <w:rFonts w:asciiTheme="minorHAnsi" w:hAnsiTheme="minorHAnsi" w:cs="Calibri"/>
          <w:sz w:val="16"/>
          <w:szCs w:val="16"/>
        </w:rPr>
        <w:t>utilizácii</w:t>
      </w:r>
      <w:proofErr w:type="spellEnd"/>
      <w:r w:rsidRPr="00C243F5">
        <w:rPr>
          <w:rFonts w:asciiTheme="minorHAnsi" w:hAnsiTheme="minorHAnsi" w:cs="Calibri"/>
          <w:sz w:val="16"/>
          <w:szCs w:val="16"/>
        </w:rPr>
        <w:t xml:space="preserve"> na projekte</w:t>
      </w:r>
      <w:r w:rsidRPr="00C243F5">
        <w:rPr>
          <w:rFonts w:asciiTheme="minorHAnsi" w:hAnsiTheme="minorHAnsi" w:cs="ArialNarrow"/>
          <w:sz w:val="16"/>
          <w:szCs w:val="16"/>
          <w:lang w:eastAsia="sk-SK"/>
        </w:rPr>
        <w:t>.</w:t>
      </w:r>
      <w:r w:rsidRPr="00E95257">
        <w:rPr>
          <w:rFonts w:cs="ArialNarrow"/>
          <w:sz w:val="18"/>
          <w:szCs w:val="18"/>
          <w:lang w:eastAsia="sk-SK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A32" w:rsidRDefault="00CD072A" w:rsidP="00752221">
    <w:pPr>
      <w:pStyle w:val="Hlavika"/>
    </w:pPr>
    <w:r>
      <w:rPr>
        <w:noProof/>
        <w:lang w:val="sk-SK" w:eastAsia="sk-SK"/>
      </w:rPr>
      <w:drawing>
        <wp:inline distT="0" distB="0" distL="0" distR="0">
          <wp:extent cx="5760720" cy="57594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24FEC"/>
    <w:multiLevelType w:val="hybridMultilevel"/>
    <w:tmpl w:val="B2667DE0"/>
    <w:lvl w:ilvl="0" w:tplc="AA3E8A42">
      <w:start w:val="1"/>
      <w:numFmt w:val="lowerLetter"/>
      <w:lvlText w:val="%1)"/>
      <w:lvlJc w:val="left"/>
      <w:pPr>
        <w:ind w:left="720" w:hanging="360"/>
      </w:pPr>
      <w:rPr>
        <w:b w:val="0"/>
        <w:caps w:val="0"/>
        <w:sz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8B24541A">
      <w:start w:val="1"/>
      <w:numFmt w:val="decimal"/>
      <w:lvlText w:val="%4."/>
      <w:lvlJc w:val="left"/>
      <w:pPr>
        <w:ind w:left="2880" w:hanging="360"/>
      </w:pPr>
      <w:rPr>
        <w:b/>
        <w:sz w:val="22"/>
        <w:szCs w:val="22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32"/>
    <w:rsid w:val="00037758"/>
    <w:rsid w:val="002663C1"/>
    <w:rsid w:val="00385A32"/>
    <w:rsid w:val="00430103"/>
    <w:rsid w:val="004B0814"/>
    <w:rsid w:val="00671EFA"/>
    <w:rsid w:val="006F1DEF"/>
    <w:rsid w:val="006F4463"/>
    <w:rsid w:val="007B724C"/>
    <w:rsid w:val="007F009E"/>
    <w:rsid w:val="008A3A81"/>
    <w:rsid w:val="00962ED5"/>
    <w:rsid w:val="00B17DA4"/>
    <w:rsid w:val="00BE204B"/>
    <w:rsid w:val="00CD072A"/>
    <w:rsid w:val="00F9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5A32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385A32"/>
    <w:rPr>
      <w:color w:val="0000FF"/>
      <w:u w:val="singl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385A32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 Char4,Schriftart: 9 pt,Schriftart: 10 pt,Schriftart: 8 pt,Schriftart: 8 pt Char Char Char,Char4,o"/>
    <w:basedOn w:val="Normlny"/>
    <w:link w:val="TextpoznmkypodiarouChar"/>
    <w:uiPriority w:val="99"/>
    <w:rsid w:val="00385A32"/>
    <w:pPr>
      <w:spacing w:after="0" w:line="240" w:lineRule="auto"/>
    </w:pPr>
    <w:rPr>
      <w:rFonts w:ascii="Arial" w:eastAsia="Times New Roman" w:hAnsi="Arial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 Char4 Char,Schriftart: 9 pt Char,Schriftart: 10 pt Char,Char4 Char"/>
    <w:basedOn w:val="Predvolenpsmoodseku"/>
    <w:link w:val="Textpoznmkypodiarou"/>
    <w:uiPriority w:val="99"/>
    <w:rsid w:val="00385A32"/>
    <w:rPr>
      <w:rFonts w:ascii="Arial" w:eastAsia="Times New Roman" w:hAnsi="Arial" w:cs="Times New Roman"/>
      <w:sz w:val="16"/>
      <w:szCs w:val="20"/>
      <w:lang w:val="en-US"/>
    </w:rPr>
  </w:style>
  <w:style w:type="paragraph" w:customStyle="1" w:styleId="Char2">
    <w:name w:val="Char2"/>
    <w:basedOn w:val="Normlny"/>
    <w:link w:val="Odkaznapoznmkupodiarou"/>
    <w:uiPriority w:val="99"/>
    <w:rsid w:val="00385A32"/>
    <w:pPr>
      <w:spacing w:after="160" w:line="240" w:lineRule="exact"/>
    </w:pPr>
    <w:rPr>
      <w:rFonts w:ascii="Arial" w:eastAsiaTheme="minorHAnsi" w:hAnsi="Arial" w:cstheme="minorBidi"/>
      <w:sz w:val="16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85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385A32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CD0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D072A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0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072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5A32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385A32"/>
    <w:rPr>
      <w:color w:val="0000FF"/>
      <w:u w:val="singl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385A32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 Char4,Schriftart: 9 pt,Schriftart: 10 pt,Schriftart: 8 pt,Schriftart: 8 pt Char Char Char,Char4,o"/>
    <w:basedOn w:val="Normlny"/>
    <w:link w:val="TextpoznmkypodiarouChar"/>
    <w:uiPriority w:val="99"/>
    <w:rsid w:val="00385A32"/>
    <w:pPr>
      <w:spacing w:after="0" w:line="240" w:lineRule="auto"/>
    </w:pPr>
    <w:rPr>
      <w:rFonts w:ascii="Arial" w:eastAsia="Times New Roman" w:hAnsi="Arial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 Char4 Char,Schriftart: 9 pt Char,Schriftart: 10 pt Char,Char4 Char"/>
    <w:basedOn w:val="Predvolenpsmoodseku"/>
    <w:link w:val="Textpoznmkypodiarou"/>
    <w:uiPriority w:val="99"/>
    <w:rsid w:val="00385A32"/>
    <w:rPr>
      <w:rFonts w:ascii="Arial" w:eastAsia="Times New Roman" w:hAnsi="Arial" w:cs="Times New Roman"/>
      <w:sz w:val="16"/>
      <w:szCs w:val="20"/>
      <w:lang w:val="en-US"/>
    </w:rPr>
  </w:style>
  <w:style w:type="paragraph" w:customStyle="1" w:styleId="Char2">
    <w:name w:val="Char2"/>
    <w:basedOn w:val="Normlny"/>
    <w:link w:val="Odkaznapoznmkupodiarou"/>
    <w:uiPriority w:val="99"/>
    <w:rsid w:val="00385A32"/>
    <w:pPr>
      <w:spacing w:after="160" w:line="240" w:lineRule="exact"/>
    </w:pPr>
    <w:rPr>
      <w:rFonts w:ascii="Arial" w:eastAsiaTheme="minorHAnsi" w:hAnsi="Arial" w:cstheme="minorBidi"/>
      <w:sz w:val="16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85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385A32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CD0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D072A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0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07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ployment.gov.sk/sk/legislativa/pracovna-legislativa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mployment.gov.sk/sk/legislativa/pracovna-legislativ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Hrabovčinová, Ivana</dc:creator>
  <cp:lastModifiedBy>Hrabovčinová, Ivana</cp:lastModifiedBy>
  <cp:revision>2</cp:revision>
  <dcterms:created xsi:type="dcterms:W3CDTF">2018-01-23T12:09:00Z</dcterms:created>
  <dcterms:modified xsi:type="dcterms:W3CDTF">2018-01-23T12:09:00Z</dcterms:modified>
</cp:coreProperties>
</file>