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7F5AD" w14:textId="37425427" w:rsidR="00F759CC" w:rsidRDefault="004E7A7D" w:rsidP="00F759CC">
      <w:pPr>
        <w:pStyle w:val="Hlavika"/>
        <w:tabs>
          <w:tab w:val="clear" w:pos="4536"/>
          <w:tab w:val="clear" w:pos="9072"/>
          <w:tab w:val="left" w:pos="3510"/>
        </w:tabs>
        <w:rPr>
          <w:rFonts w:ascii="Calibri" w:hAnsi="Calibri" w:cs="Calibri"/>
          <w:i/>
        </w:rPr>
      </w:pPr>
      <w:r>
        <w:rPr>
          <w:rFonts w:ascii="Calibri" w:hAnsi="Calibri" w:cs="Calibri"/>
          <w:i/>
        </w:rPr>
        <w:t xml:space="preserve">Príloha č. </w:t>
      </w:r>
      <w:r w:rsidR="008F4C53">
        <w:rPr>
          <w:rFonts w:ascii="Calibri" w:hAnsi="Calibri" w:cs="Calibri"/>
          <w:i/>
        </w:rPr>
        <w:t>14</w:t>
      </w:r>
      <w:r w:rsidR="00F759CC" w:rsidRPr="00525E05">
        <w:rPr>
          <w:rFonts w:ascii="Calibri" w:hAnsi="Calibri" w:cs="Calibri"/>
          <w:i/>
        </w:rPr>
        <w:t xml:space="preserve"> </w:t>
      </w:r>
      <w:proofErr w:type="spellStart"/>
      <w:r w:rsidR="00F759CC" w:rsidRPr="00525E05">
        <w:rPr>
          <w:rFonts w:ascii="Calibri" w:hAnsi="Calibri" w:cs="Calibri"/>
          <w:i/>
        </w:rPr>
        <w:t>PpP</w:t>
      </w:r>
      <w:proofErr w:type="spellEnd"/>
    </w:p>
    <w:p w14:paraId="11F8C631" w14:textId="77777777" w:rsidR="00235012" w:rsidRPr="00525E05" w:rsidRDefault="00235012" w:rsidP="00F759CC">
      <w:pPr>
        <w:pStyle w:val="Hlavika"/>
        <w:tabs>
          <w:tab w:val="clear" w:pos="4536"/>
          <w:tab w:val="clear" w:pos="9072"/>
          <w:tab w:val="left" w:pos="3510"/>
        </w:tabs>
        <w:rPr>
          <w:rFonts w:ascii="Calibri" w:hAnsi="Calibri" w:cs="Calibri"/>
          <w:i/>
        </w:rPr>
      </w:pPr>
    </w:p>
    <w:p w14:paraId="0FD7FF33" w14:textId="77777777" w:rsidR="00F759CC" w:rsidRDefault="00F759CC" w:rsidP="00F759CC">
      <w:pPr>
        <w:pStyle w:val="Default"/>
        <w:rPr>
          <w:rFonts w:asciiTheme="minorHAnsi" w:hAnsiTheme="minorHAnsi" w:cstheme="minorHAnsi"/>
          <w:sz w:val="20"/>
          <w:szCs w:val="20"/>
        </w:rPr>
      </w:pPr>
    </w:p>
    <w:p w14:paraId="54D5A5DE" w14:textId="087222AD" w:rsidR="00B42640" w:rsidRPr="008036D9" w:rsidRDefault="00F759CC" w:rsidP="008036D9">
      <w:pPr>
        <w:pStyle w:val="Nzov"/>
        <w:shd w:val="clear" w:color="auto" w:fill="A8D08D"/>
        <w:rPr>
          <w:rFonts w:ascii="Calibri" w:hAnsi="Calibri" w:cs="Calibri"/>
          <w:sz w:val="28"/>
          <w:szCs w:val="20"/>
        </w:rPr>
      </w:pPr>
      <w:r>
        <w:rPr>
          <w:rFonts w:ascii="Calibri" w:hAnsi="Calibri" w:cs="Calibri"/>
          <w:sz w:val="28"/>
          <w:szCs w:val="20"/>
        </w:rPr>
        <w:t xml:space="preserve">Postupy realizácie </w:t>
      </w:r>
      <w:r w:rsidR="00B42640">
        <w:rPr>
          <w:rFonts w:ascii="Calibri" w:hAnsi="Calibri" w:cs="Calibri"/>
          <w:sz w:val="28"/>
          <w:szCs w:val="20"/>
        </w:rPr>
        <w:t>projektov generujúce príjem</w:t>
      </w:r>
    </w:p>
    <w:p w14:paraId="234907FF" w14:textId="77777777" w:rsidR="00B42640" w:rsidRDefault="00B42640" w:rsidP="00B42640">
      <w:pPr>
        <w:pStyle w:val="Default"/>
        <w:spacing w:line="276" w:lineRule="auto"/>
        <w:jc w:val="both"/>
        <w:rPr>
          <w:rFonts w:asciiTheme="minorHAnsi" w:hAnsiTheme="minorHAnsi" w:cstheme="minorHAnsi"/>
          <w:sz w:val="20"/>
          <w:szCs w:val="20"/>
        </w:rPr>
      </w:pPr>
    </w:p>
    <w:p w14:paraId="7E51E1BC" w14:textId="311588B3" w:rsidR="00E0417C" w:rsidRDefault="00E0417C" w:rsidP="00E0417C">
      <w:pPr>
        <w:rPr>
          <w:rFonts w:ascii="Times New Roman" w:hAnsi="Times New Roman" w:cs="Times New Roman"/>
        </w:rPr>
      </w:pPr>
      <w:r w:rsidRPr="00E0417C">
        <w:rPr>
          <w:rFonts w:cstheme="minorHAnsi"/>
          <w:b/>
          <w:sz w:val="20"/>
          <w:szCs w:val="20"/>
        </w:rPr>
        <w:t>Čisté príjmy</w:t>
      </w:r>
      <w:r>
        <w:rPr>
          <w:rFonts w:ascii="Times New Roman" w:hAnsi="Times New Roman" w:cs="Times New Roman"/>
        </w:rPr>
        <w:t xml:space="preserve"> - </w:t>
      </w:r>
      <w:r w:rsidRPr="00E0417C">
        <w:rPr>
          <w:rFonts w:cstheme="minorHAnsi"/>
          <w:sz w:val="20"/>
          <w:szCs w:val="20"/>
        </w:rPr>
        <w:t xml:space="preserve">rozdiel medzi príjmami projektu (ktoré sú priamo hradené užívateľmi zo spoplatnenej infraštruktúry, resp. príjem z predaja/prenájmu pozemkov alebo stavieb, resp. každé poskytovanie služieb za poplatok)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w:t>
      </w:r>
      <w:r>
        <w:rPr>
          <w:rFonts w:cstheme="minorHAnsi"/>
          <w:sz w:val="20"/>
          <w:szCs w:val="20"/>
        </w:rPr>
        <w:t>životnosťou, mimoriadna údržba)</w:t>
      </w:r>
    </w:p>
    <w:p w14:paraId="5547167B" w14:textId="1A1483CD" w:rsidR="008036D9" w:rsidRDefault="00B42640" w:rsidP="008036D9">
      <w:pPr>
        <w:keepNext/>
        <w:keepLines/>
        <w:spacing w:after="120" w:line="276" w:lineRule="auto"/>
        <w:jc w:val="both"/>
        <w:rPr>
          <w:rFonts w:cstheme="minorHAnsi"/>
          <w:sz w:val="20"/>
          <w:szCs w:val="20"/>
        </w:rPr>
      </w:pPr>
      <w:r w:rsidRPr="00BE4C87">
        <w:rPr>
          <w:rFonts w:cstheme="minorHAnsi"/>
          <w:b/>
          <w:sz w:val="20"/>
          <w:szCs w:val="20"/>
        </w:rPr>
        <w:t xml:space="preserve">Projekt generujúci príjmy </w:t>
      </w:r>
      <w:r w:rsidRPr="00BE4C87">
        <w:rPr>
          <w:rFonts w:cstheme="minorHAnsi"/>
          <w:sz w:val="20"/>
          <w:szCs w:val="20"/>
        </w:rPr>
        <w:t>– každý projekt</w:t>
      </w:r>
      <w:r w:rsidR="00B645C8">
        <w:rPr>
          <w:rFonts w:cstheme="minorHAnsi"/>
          <w:sz w:val="20"/>
          <w:szCs w:val="20"/>
        </w:rPr>
        <w:t xml:space="preserve">, ktorého celkové oprávnené </w:t>
      </w:r>
      <w:r w:rsidR="00B645C8" w:rsidRPr="00B645C8">
        <w:rPr>
          <w:rFonts w:cstheme="minorHAnsi"/>
          <w:sz w:val="20"/>
          <w:szCs w:val="20"/>
        </w:rPr>
        <w:t xml:space="preserve">výdavky sú vyššie </w:t>
      </w:r>
      <w:r w:rsidR="00B645C8" w:rsidRPr="0095681C">
        <w:rPr>
          <w:rFonts w:cstheme="minorHAnsi"/>
          <w:sz w:val="20"/>
          <w:szCs w:val="20"/>
        </w:rPr>
        <w:t>ako 1</w:t>
      </w:r>
      <w:r w:rsidR="00A956FF" w:rsidRPr="0095681C">
        <w:rPr>
          <w:rFonts w:cstheme="minorHAnsi"/>
          <w:sz w:val="20"/>
          <w:szCs w:val="20"/>
        </w:rPr>
        <w:t xml:space="preserve"> mil</w:t>
      </w:r>
      <w:r w:rsidR="00B645C8" w:rsidRPr="0095681C">
        <w:rPr>
          <w:rFonts w:cstheme="minorHAnsi"/>
          <w:sz w:val="20"/>
          <w:szCs w:val="20"/>
        </w:rPr>
        <w:t>. Eur</w:t>
      </w:r>
      <w:r w:rsidR="00B645C8" w:rsidRPr="0095681C">
        <w:rPr>
          <w:rStyle w:val="Odkaznapoznmkupodiarou"/>
          <w:rFonts w:cstheme="minorHAnsi"/>
          <w:sz w:val="20"/>
          <w:szCs w:val="20"/>
        </w:rPr>
        <w:footnoteReference w:id="1"/>
      </w:r>
      <w:r w:rsidR="00B645C8" w:rsidRPr="0095681C">
        <w:rPr>
          <w:rFonts w:cstheme="minorHAnsi"/>
          <w:sz w:val="20"/>
          <w:szCs w:val="20"/>
        </w:rPr>
        <w:t>,</w:t>
      </w:r>
      <w:r w:rsidRPr="0095681C">
        <w:rPr>
          <w:rFonts w:cstheme="minorHAnsi"/>
          <w:sz w:val="20"/>
          <w:szCs w:val="20"/>
        </w:rPr>
        <w:t xml:space="preserve"> za</w:t>
      </w:r>
      <w:r w:rsidRPr="00BE4C87">
        <w:rPr>
          <w:rFonts w:cstheme="minorHAnsi"/>
          <w:sz w:val="20"/>
          <w:szCs w:val="20"/>
        </w:rPr>
        <w:t>hrňujúci investíciu do infraštruktúry, ktorej používanie je spoplatnené a priamo hradené užívateľmi, alebo každý projekt zahrňujúci predaj alebo prenájom pozemkov alebo stavieb, alebo každé poskytovanie služieb za poplatok;</w:t>
      </w:r>
    </w:p>
    <w:p w14:paraId="41D9B9AA" w14:textId="593CD473" w:rsidR="008036D9" w:rsidRPr="008036D9" w:rsidRDefault="008036D9" w:rsidP="008036D9">
      <w:pPr>
        <w:keepNext/>
        <w:keepLines/>
        <w:spacing w:after="120" w:line="276" w:lineRule="auto"/>
        <w:jc w:val="both"/>
        <w:rPr>
          <w:rFonts w:cstheme="minorHAnsi"/>
          <w:sz w:val="20"/>
          <w:szCs w:val="20"/>
        </w:rPr>
      </w:pPr>
      <w:r w:rsidRPr="008036D9">
        <w:rPr>
          <w:rFonts w:cstheme="minorHAnsi"/>
          <w:sz w:val="20"/>
          <w:szCs w:val="20"/>
        </w:rPr>
        <w:t>Tieto projekty sa delia na projekty, kde:</w:t>
      </w:r>
    </w:p>
    <w:p w14:paraId="58B4969B" w14:textId="7A80FE37" w:rsidR="008036D9" w:rsidRPr="008036D9" w:rsidRDefault="008036D9" w:rsidP="008036D9">
      <w:pPr>
        <w:numPr>
          <w:ilvl w:val="2"/>
          <w:numId w:val="25"/>
        </w:numPr>
        <w:tabs>
          <w:tab w:val="clear" w:pos="2973"/>
          <w:tab w:val="num" w:pos="900"/>
        </w:tabs>
        <w:spacing w:before="120" w:after="0" w:line="264" w:lineRule="auto"/>
        <w:ind w:left="900"/>
        <w:jc w:val="both"/>
        <w:rPr>
          <w:rFonts w:cstheme="minorHAnsi"/>
          <w:sz w:val="20"/>
          <w:szCs w:val="20"/>
        </w:rPr>
      </w:pPr>
      <w:r w:rsidRPr="008036D9">
        <w:rPr>
          <w:rFonts w:cstheme="minorHAnsi"/>
          <w:sz w:val="20"/>
          <w:szCs w:val="20"/>
        </w:rPr>
        <w:t xml:space="preserve">je možné dopredu objektívne odhadnúť príjem.  V takom prípade projekty majú spracovanú Finančnú analýzu pre referenčné obdobie, ktorým je obdobie Realizácie Projektu ako aj obdobie Udržateľnosti Projektu. Počas referenčného obdobia sa v rámci </w:t>
      </w:r>
      <w:r w:rsidR="00E0417C">
        <w:rPr>
          <w:rFonts w:cstheme="minorHAnsi"/>
          <w:sz w:val="20"/>
          <w:szCs w:val="20"/>
        </w:rPr>
        <w:t>monitorovania projektu formou zmeny projektu typu Monitorovanie</w:t>
      </w:r>
      <w:r w:rsidRPr="008036D9" w:rsidDel="00B47CF0">
        <w:rPr>
          <w:rFonts w:cstheme="minorHAnsi"/>
          <w:sz w:val="20"/>
          <w:szCs w:val="20"/>
        </w:rPr>
        <w:t xml:space="preserve"> </w:t>
      </w:r>
      <w:r w:rsidRPr="008036D9">
        <w:rPr>
          <w:rFonts w:cstheme="minorHAnsi"/>
          <w:sz w:val="20"/>
          <w:szCs w:val="20"/>
        </w:rPr>
        <w:t xml:space="preserve">sleduje, či nedochádza k zmenám v údajoch použitých pri výpočte Finančnej analýzy.  Pre tieto Projekty generujúce príjem Prijímateľ predkladá aktualizovanú Finančnú analýzu s </w:t>
      </w:r>
      <w:proofErr w:type="spellStart"/>
      <w:r w:rsidRPr="008036D9">
        <w:rPr>
          <w:rFonts w:cstheme="minorHAnsi"/>
          <w:sz w:val="20"/>
          <w:szCs w:val="20"/>
        </w:rPr>
        <w:t>rekalkuláciou</w:t>
      </w:r>
      <w:proofErr w:type="spellEnd"/>
      <w:r w:rsidRPr="008036D9">
        <w:rPr>
          <w:rFonts w:cstheme="minorHAnsi"/>
          <w:sz w:val="20"/>
          <w:szCs w:val="20"/>
        </w:rPr>
        <w:t xml:space="preserve"> Finančnej medzery </w:t>
      </w:r>
      <w:r w:rsidR="00E0417C">
        <w:rPr>
          <w:rFonts w:cstheme="minorHAnsi"/>
          <w:sz w:val="20"/>
          <w:szCs w:val="20"/>
        </w:rPr>
        <w:t xml:space="preserve">v rámci zmeny projektu typu Monitorovanie po ukončení realizácie projektu. </w:t>
      </w:r>
      <w:r w:rsidRPr="008036D9">
        <w:rPr>
          <w:rFonts w:cstheme="minorHAnsi"/>
          <w:sz w:val="20"/>
          <w:szCs w:val="20"/>
        </w:rPr>
        <w:t>Rozdiel zistený z aktualizovanej</w:t>
      </w:r>
      <w:r w:rsidRPr="008036D9" w:rsidDel="00B47CF0">
        <w:rPr>
          <w:rFonts w:cstheme="minorHAnsi"/>
          <w:sz w:val="20"/>
          <w:szCs w:val="20"/>
        </w:rPr>
        <w:t xml:space="preserve"> </w:t>
      </w:r>
      <w:r w:rsidRPr="008036D9">
        <w:rPr>
          <w:rFonts w:cstheme="minorHAnsi"/>
          <w:sz w:val="20"/>
          <w:szCs w:val="20"/>
        </w:rPr>
        <w:t xml:space="preserve">Finančnej analýzy je Prijímateľ povinný vrátiť v súlade s postupmi uvedenými v Zmluve o poskytnutí NFP, alebo </w:t>
      </w:r>
    </w:p>
    <w:p w14:paraId="2302AF12" w14:textId="5816F8DB" w:rsidR="008036D9" w:rsidRPr="008036D9" w:rsidRDefault="008036D9" w:rsidP="008036D9">
      <w:pPr>
        <w:numPr>
          <w:ilvl w:val="2"/>
          <w:numId w:val="25"/>
        </w:numPr>
        <w:tabs>
          <w:tab w:val="clear" w:pos="2973"/>
          <w:tab w:val="num" w:pos="900"/>
        </w:tabs>
        <w:spacing w:before="120" w:after="0" w:line="264" w:lineRule="auto"/>
        <w:ind w:left="900"/>
        <w:jc w:val="both"/>
        <w:rPr>
          <w:rFonts w:cstheme="minorHAnsi"/>
          <w:sz w:val="20"/>
          <w:szCs w:val="20"/>
        </w:rPr>
      </w:pPr>
      <w:r w:rsidRPr="008036D9">
        <w:rPr>
          <w:rFonts w:cstheme="minorHAnsi"/>
          <w:sz w:val="20"/>
          <w:szCs w:val="20"/>
        </w:rPr>
        <w:t>nie je možné dopredu objektívne odhadnúť príjem. V takom prípade projekty nemajú spracovanú Finančnú analýzu, avšak počas referenčného obdobia, ktorým je pre tieto Projekty generujúce príjmy obdobie Realizácie Projektu ako aj obdobie 3-ročnej doby monitorovania po Finančnom ukončení Projektu sa sleduje, aké Čisté príjmy Projekt dosahuje. Pre tieto Projekty generujúce príjem Prijímateľ vypracúva Finančnú analýzu s kalkuláciou Či</w:t>
      </w:r>
      <w:r w:rsidR="00E0417C">
        <w:rPr>
          <w:rFonts w:cstheme="minorHAnsi"/>
          <w:sz w:val="20"/>
          <w:szCs w:val="20"/>
        </w:rPr>
        <w:t xml:space="preserve">stých príjmov, ktorú predkladá </w:t>
      </w:r>
      <w:r w:rsidR="00E0417C">
        <w:rPr>
          <w:rFonts w:cstheme="minorHAnsi"/>
          <w:sz w:val="20"/>
          <w:szCs w:val="20"/>
        </w:rPr>
        <w:t>v rámci zmeny projektu typu Monitorovanie po ukončení realizácie projektu</w:t>
      </w:r>
      <w:r w:rsidRPr="008036D9">
        <w:rPr>
          <w:rFonts w:cstheme="minorHAnsi"/>
          <w:sz w:val="20"/>
          <w:szCs w:val="20"/>
        </w:rPr>
        <w:t xml:space="preserve">. V prípade zistenia Čistých príjmov je Prijímateľ povinný vrátiť Poskytovateľovi tieto Čisté príjmy podľa postupov uvedených v Zmluve o poskytnutí NFP. Po uplynutí 3 ročnej doby monitorovania po Finančnom ukončení Projektu nie je dotknutá povinnosť Prijímateľa predkladať </w:t>
      </w:r>
      <w:r w:rsidR="00E0417C">
        <w:rPr>
          <w:rFonts w:cstheme="minorHAnsi"/>
          <w:sz w:val="20"/>
          <w:szCs w:val="20"/>
        </w:rPr>
        <w:t>v rámci zmeny projektu typu Monitorovanie po ukončení realizácie projektu</w:t>
      </w:r>
      <w:r w:rsidRPr="008036D9">
        <w:rPr>
          <w:rFonts w:cstheme="minorHAnsi"/>
          <w:sz w:val="20"/>
          <w:szCs w:val="20"/>
        </w:rPr>
        <w:t xml:space="preserve"> až do ukončenia Obdobia Udržateľnosti Projektu;</w:t>
      </w:r>
    </w:p>
    <w:p w14:paraId="09BBD7C2" w14:textId="77777777" w:rsidR="004C3EE5" w:rsidRDefault="00B42640" w:rsidP="004C3EE5">
      <w:pPr>
        <w:pStyle w:val="AODefHead"/>
        <w:numPr>
          <w:ilvl w:val="0"/>
          <w:numId w:val="0"/>
        </w:numPr>
        <w:spacing w:before="120" w:line="264" w:lineRule="auto"/>
        <w:rPr>
          <w:rFonts w:asciiTheme="minorHAnsi" w:eastAsiaTheme="minorHAnsi" w:hAnsiTheme="minorHAnsi" w:cstheme="minorHAnsi"/>
          <w:sz w:val="20"/>
          <w:szCs w:val="20"/>
        </w:rPr>
      </w:pPr>
      <w:r w:rsidRPr="00E0417C">
        <w:rPr>
          <w:rFonts w:asciiTheme="minorHAnsi" w:eastAsiaTheme="minorHAnsi" w:hAnsiTheme="minorHAnsi"/>
          <w:b/>
          <w:sz w:val="20"/>
          <w:szCs w:val="20"/>
        </w:rPr>
        <w:t>Finančná analýza</w:t>
      </w:r>
      <w:r w:rsidRPr="00E0417C">
        <w:rPr>
          <w:rFonts w:asciiTheme="minorHAnsi" w:eastAsiaTheme="minorHAnsi" w:hAnsiTheme="minorHAnsi"/>
          <w:sz w:val="20"/>
          <w:szCs w:val="20"/>
        </w:rPr>
        <w:t xml:space="preserve"> </w:t>
      </w:r>
      <w:r w:rsidRPr="00E0417C">
        <w:rPr>
          <w:rFonts w:asciiTheme="minorHAnsi" w:eastAsiaTheme="minorHAnsi" w:hAnsiTheme="minorHAnsi"/>
          <w:szCs w:val="20"/>
        </w:rPr>
        <w:t xml:space="preserve">– </w:t>
      </w:r>
      <w:r w:rsidRPr="00E038EF">
        <w:rPr>
          <w:rFonts w:asciiTheme="minorHAnsi" w:eastAsiaTheme="minorHAnsi" w:hAnsiTheme="minorHAnsi" w:cstheme="minorHAnsi"/>
          <w:sz w:val="20"/>
          <w:szCs w:val="20"/>
        </w:rPr>
        <w:t>analýza, ktorej účelom je primárne odôvodnenie potreby NFP pre realizáciu projektu generujúceho príjem, resp. stanovenie adekvátnej výšky NFP. Finančná analýza zároveň slúži na ubezpečenie poskytovateľa, že projekt po ukončení financovania z prostriedkov NFP bude aj naďalej finančne udržateľný. Podstatou finančnej analýzy je výpočet peňažných tokov v jednotlivých rokoch referenčného obdobia (v závislosti od typu projektu), pričom ich kalkulácia vychádza z rozdielu výdavkov a príjmov v daných rokoch;</w:t>
      </w:r>
    </w:p>
    <w:p w14:paraId="34DDCA66" w14:textId="5E7A026C" w:rsidR="00B42640" w:rsidRPr="004C3EE5" w:rsidRDefault="00B42640" w:rsidP="004C3EE5">
      <w:pPr>
        <w:pStyle w:val="AODefHead"/>
        <w:numPr>
          <w:ilvl w:val="0"/>
          <w:numId w:val="0"/>
        </w:numPr>
        <w:spacing w:before="120" w:line="264" w:lineRule="auto"/>
        <w:rPr>
          <w:rFonts w:asciiTheme="minorHAnsi" w:eastAsiaTheme="minorHAnsi" w:hAnsiTheme="minorHAnsi" w:cstheme="minorHAnsi"/>
          <w:sz w:val="20"/>
          <w:szCs w:val="20"/>
        </w:rPr>
      </w:pPr>
      <w:r w:rsidRPr="00E0417C">
        <w:rPr>
          <w:rFonts w:asciiTheme="minorHAnsi" w:eastAsiaTheme="minorHAnsi" w:hAnsiTheme="minorHAnsi"/>
          <w:b/>
          <w:sz w:val="20"/>
          <w:szCs w:val="20"/>
        </w:rPr>
        <w:t xml:space="preserve">Finančná medzera </w:t>
      </w:r>
      <w:r w:rsidRPr="00E0417C">
        <w:rPr>
          <w:rFonts w:asciiTheme="minorHAnsi" w:eastAsiaTheme="minorHAnsi" w:hAnsiTheme="minorHAnsi"/>
          <w:b/>
          <w:szCs w:val="20"/>
        </w:rPr>
        <w:t>-</w:t>
      </w:r>
      <w:r w:rsidRPr="00BE4C87">
        <w:rPr>
          <w:rFonts w:cstheme="minorHAnsi"/>
          <w:sz w:val="20"/>
        </w:rPr>
        <w:t xml:space="preserve"> </w:t>
      </w:r>
      <w:r w:rsidRPr="004C3EE5">
        <w:rPr>
          <w:rFonts w:asciiTheme="minorHAnsi" w:eastAsiaTheme="minorHAnsi" w:hAnsiTheme="minorHAnsi" w:cstheme="minorHAnsi"/>
          <w:sz w:val="20"/>
          <w:szCs w:val="20"/>
        </w:rPr>
        <w:t xml:space="preserve">rozdiel medzi súčasnou hodnotou investičných nákladov na projekt a súčasnou hodnotou čistého príjmu (zvýšeného o súčasnú hodnotu zostatkovej hodnoty investície). Vyjadruje časť investičných nákladov na projekt, ktoré nemôžu byť financované samotným projektom, a preto môžu byť financované formou príspevku. Miera finančnej medzery predstavuje podiel diskontovaných nákladov počiatočnej investície, ktorý nie je pokrytý diskontovaným čistým výnosom projektu. V prípade projektov generujúcich príjmy finančná medzera predstavuje hodnotu celkových oprávnených výdavkov, na ktorú sa uplatňuje miera financovania stanovená </w:t>
      </w:r>
      <w:r w:rsidR="008036D9" w:rsidRPr="004C3EE5">
        <w:rPr>
          <w:rFonts w:asciiTheme="minorHAnsi" w:eastAsiaTheme="minorHAnsi" w:hAnsiTheme="minorHAnsi" w:cstheme="minorHAnsi"/>
          <w:sz w:val="20"/>
          <w:szCs w:val="20"/>
        </w:rPr>
        <w:t>v Stratégii financovania Európskeho fondu regionálneho rozvoja, Európskeho sociálneho fondu plus, Kohézneho fondu, Fondu na spravodlivú transformáciu a Európskeho námorného, rybolovného a </w:t>
      </w:r>
      <w:proofErr w:type="spellStart"/>
      <w:r w:rsidR="008036D9" w:rsidRPr="004C3EE5">
        <w:rPr>
          <w:rFonts w:asciiTheme="minorHAnsi" w:eastAsiaTheme="minorHAnsi" w:hAnsiTheme="minorHAnsi" w:cstheme="minorHAnsi"/>
          <w:sz w:val="20"/>
          <w:szCs w:val="20"/>
        </w:rPr>
        <w:t>akvakultúrneho</w:t>
      </w:r>
      <w:proofErr w:type="spellEnd"/>
      <w:r w:rsidR="008036D9" w:rsidRPr="004C3EE5">
        <w:rPr>
          <w:rFonts w:asciiTheme="minorHAnsi" w:eastAsiaTheme="minorHAnsi" w:hAnsiTheme="minorHAnsi" w:cstheme="minorHAnsi"/>
          <w:sz w:val="20"/>
          <w:szCs w:val="20"/>
        </w:rPr>
        <w:t xml:space="preserve"> fondu na programové obdobie 2021 - 2027  </w:t>
      </w:r>
      <w:r w:rsidRPr="004C3EE5">
        <w:rPr>
          <w:rFonts w:asciiTheme="minorHAnsi" w:eastAsiaTheme="minorHAnsi" w:hAnsiTheme="minorHAnsi" w:cstheme="minorHAnsi"/>
          <w:sz w:val="20"/>
          <w:szCs w:val="20"/>
        </w:rPr>
        <w:t>v súlade s finančným plánom programu;</w:t>
      </w:r>
    </w:p>
    <w:p w14:paraId="3BAA83FF" w14:textId="77777777" w:rsidR="00B42640" w:rsidRPr="008036D9" w:rsidRDefault="00B42640" w:rsidP="00B42640">
      <w:pPr>
        <w:spacing w:before="120"/>
        <w:jc w:val="both"/>
        <w:rPr>
          <w:rFonts w:cstheme="minorHAnsi"/>
          <w:sz w:val="20"/>
          <w:szCs w:val="20"/>
        </w:rPr>
      </w:pPr>
      <w:r w:rsidRPr="008036D9">
        <w:rPr>
          <w:rStyle w:val="hps"/>
          <w:rFonts w:cstheme="minorHAnsi"/>
          <w:b/>
          <w:sz w:val="20"/>
        </w:rPr>
        <w:t>Zmena podmienok pre projekty generujúce príjmy</w:t>
      </w:r>
      <w:r w:rsidRPr="008036D9">
        <w:rPr>
          <w:szCs w:val="20"/>
        </w:rPr>
        <w:t xml:space="preserve"> </w:t>
      </w:r>
      <w:r w:rsidRPr="008036D9">
        <w:rPr>
          <w:rFonts w:cstheme="minorHAnsi"/>
          <w:sz w:val="20"/>
          <w:szCs w:val="20"/>
        </w:rPr>
        <w:t xml:space="preserve">- zmena, ktorá nastáva v prípade: </w:t>
      </w:r>
    </w:p>
    <w:p w14:paraId="1796986B" w14:textId="1F1276B8" w:rsidR="00B42640" w:rsidRPr="008036D9" w:rsidRDefault="00B42640" w:rsidP="00B42640">
      <w:pPr>
        <w:numPr>
          <w:ilvl w:val="0"/>
          <w:numId w:val="26"/>
        </w:numPr>
        <w:tabs>
          <w:tab w:val="clear" w:pos="360"/>
          <w:tab w:val="num" w:pos="1080"/>
        </w:tabs>
        <w:spacing w:before="120" w:after="0" w:line="240" w:lineRule="auto"/>
        <w:ind w:left="1080" w:hanging="540"/>
        <w:jc w:val="both"/>
        <w:rPr>
          <w:rFonts w:cstheme="minorHAnsi"/>
          <w:sz w:val="20"/>
          <w:szCs w:val="20"/>
        </w:rPr>
      </w:pPr>
      <w:r w:rsidRPr="008036D9">
        <w:rPr>
          <w:rFonts w:cstheme="minorHAnsi"/>
          <w:sz w:val="20"/>
          <w:szCs w:val="20"/>
        </w:rPr>
        <w:t xml:space="preserve">ak určité zdroje príjmov neboli zohľadnené pri výpočte finančnej medzery pri predložení žiadosti o poskytnutie NFP alebo nové zdroje príjmov sa objavili počas monitorovania čistých príjmov na základe </w:t>
      </w:r>
      <w:r w:rsidR="00E0417C">
        <w:rPr>
          <w:rFonts w:cstheme="minorHAnsi"/>
          <w:sz w:val="20"/>
          <w:szCs w:val="20"/>
        </w:rPr>
        <w:t>zmeny projektu typu Monitorovanie</w:t>
      </w:r>
      <w:r w:rsidRPr="008036D9">
        <w:rPr>
          <w:rFonts w:cstheme="minorHAnsi"/>
          <w:sz w:val="20"/>
          <w:szCs w:val="20"/>
        </w:rPr>
        <w:t xml:space="preserve"> alebo</w:t>
      </w:r>
    </w:p>
    <w:p w14:paraId="0761FEFE" w14:textId="77777777" w:rsidR="00B42640" w:rsidRPr="008036D9" w:rsidRDefault="00B42640" w:rsidP="00B42640">
      <w:pPr>
        <w:numPr>
          <w:ilvl w:val="0"/>
          <w:numId w:val="26"/>
        </w:numPr>
        <w:tabs>
          <w:tab w:val="clear" w:pos="360"/>
          <w:tab w:val="num" w:pos="1080"/>
        </w:tabs>
        <w:spacing w:before="120" w:after="0" w:line="240" w:lineRule="auto"/>
        <w:ind w:left="1080" w:hanging="540"/>
        <w:jc w:val="both"/>
        <w:rPr>
          <w:rFonts w:cstheme="minorHAnsi"/>
          <w:sz w:val="20"/>
          <w:szCs w:val="20"/>
        </w:rPr>
      </w:pPr>
      <w:r w:rsidRPr="008036D9">
        <w:rPr>
          <w:rFonts w:cstheme="minorHAnsi"/>
          <w:sz w:val="20"/>
          <w:szCs w:val="20"/>
        </w:rPr>
        <w:lastRenderedPageBreak/>
        <w:t>dochádza k zmenám v tarifnej politike;</w:t>
      </w:r>
    </w:p>
    <w:p w14:paraId="67AC0621" w14:textId="3FB699AA" w:rsidR="00B42640" w:rsidRPr="008036D9" w:rsidRDefault="00B42640" w:rsidP="008036D9">
      <w:pPr>
        <w:spacing w:before="120"/>
        <w:jc w:val="both"/>
        <w:rPr>
          <w:rFonts w:cstheme="minorHAnsi"/>
          <w:sz w:val="20"/>
          <w:szCs w:val="20"/>
        </w:rPr>
      </w:pPr>
      <w:r w:rsidRPr="00FA1302">
        <w:rPr>
          <w:rStyle w:val="hps"/>
          <w:rFonts w:cstheme="minorHAnsi"/>
          <w:sz w:val="20"/>
        </w:rPr>
        <w:t xml:space="preserve">Podstatná zmena podmienok pre </w:t>
      </w:r>
      <w:r w:rsidR="00FA1302">
        <w:rPr>
          <w:rStyle w:val="hps"/>
          <w:rFonts w:cstheme="minorHAnsi"/>
          <w:sz w:val="20"/>
        </w:rPr>
        <w:t xml:space="preserve">projekty generujúce príjem </w:t>
      </w:r>
      <w:r w:rsidRPr="00FA1302">
        <w:rPr>
          <w:rFonts w:cstheme="minorHAnsi"/>
          <w:sz w:val="20"/>
          <w:szCs w:val="20"/>
        </w:rPr>
        <w:t>pred</w:t>
      </w:r>
      <w:r w:rsidRPr="008036D9">
        <w:rPr>
          <w:rFonts w:cstheme="minorHAnsi"/>
          <w:sz w:val="20"/>
          <w:szCs w:val="20"/>
        </w:rPr>
        <w:t>stavuje zmenu v údajoch zadávaných do Finančnej analýzy, ktorá spôsobí zmenu (pok</w:t>
      </w:r>
      <w:r w:rsidR="00E038EF">
        <w:rPr>
          <w:rFonts w:cstheme="minorHAnsi"/>
          <w:sz w:val="20"/>
          <w:szCs w:val="20"/>
        </w:rPr>
        <w:t xml:space="preserve">les) Miery finančnej medzery o </w:t>
      </w:r>
      <w:r w:rsidRPr="008036D9">
        <w:rPr>
          <w:rFonts w:cstheme="minorHAnsi"/>
          <w:sz w:val="20"/>
          <w:szCs w:val="20"/>
        </w:rPr>
        <w:t>10 % a via</w:t>
      </w:r>
      <w:bookmarkStart w:id="0" w:name="_GoBack"/>
      <w:bookmarkEnd w:id="0"/>
      <w:r w:rsidRPr="008036D9">
        <w:rPr>
          <w:rFonts w:cstheme="minorHAnsi"/>
          <w:sz w:val="20"/>
          <w:szCs w:val="20"/>
        </w:rPr>
        <w:t xml:space="preserve">c oproti plánovanej </w:t>
      </w:r>
      <w:r w:rsidR="00E038EF">
        <w:rPr>
          <w:rFonts w:cstheme="minorHAnsi"/>
          <w:sz w:val="20"/>
          <w:szCs w:val="20"/>
        </w:rPr>
        <w:t xml:space="preserve">hodnote Miery finančnej medzery. </w:t>
      </w:r>
      <w:r w:rsidRPr="008036D9">
        <w:rPr>
          <w:rFonts w:cstheme="minorHAnsi"/>
          <w:sz w:val="20"/>
          <w:szCs w:val="20"/>
        </w:rPr>
        <w:t>Ak nastane Podstatná zmena podmienok pre projekty generujúce príjem počas monitorovania čistých príjmov a súčasne:</w:t>
      </w:r>
    </w:p>
    <w:p w14:paraId="4D7410C1" w14:textId="1D38B6A0" w:rsidR="00B42640" w:rsidRPr="008036D9" w:rsidRDefault="00B42640" w:rsidP="004C3EE5">
      <w:pPr>
        <w:numPr>
          <w:ilvl w:val="2"/>
          <w:numId w:val="24"/>
        </w:numPr>
        <w:tabs>
          <w:tab w:val="num" w:pos="720"/>
        </w:tabs>
        <w:jc w:val="both"/>
        <w:rPr>
          <w:rFonts w:cstheme="minorHAnsi"/>
          <w:sz w:val="20"/>
          <w:szCs w:val="20"/>
        </w:rPr>
      </w:pPr>
      <w:r w:rsidRPr="008036D9">
        <w:rPr>
          <w:rFonts w:cstheme="minorHAnsi"/>
          <w:sz w:val="20"/>
          <w:szCs w:val="20"/>
        </w:rPr>
        <w:t xml:space="preserve">ešte nedošlo k poskytnutiu celého NFP, zmluvné strany sa zaväzujú uzavrieť dodatok k Zmluve o poskytnutí NFP, ktorým sa upraví </w:t>
      </w:r>
      <w:r w:rsidR="00733E16">
        <w:rPr>
          <w:rFonts w:cstheme="minorHAnsi"/>
          <w:sz w:val="20"/>
          <w:szCs w:val="20"/>
        </w:rPr>
        <w:t>výška NFP</w:t>
      </w:r>
      <w:r w:rsidRPr="008036D9">
        <w:rPr>
          <w:rFonts w:cstheme="minorHAnsi"/>
          <w:sz w:val="20"/>
          <w:szCs w:val="20"/>
        </w:rPr>
        <w:t xml:space="preserve"> v nadväznosti na rozdiel medzi NFP vypočítaným na základe metódy finančnej medzery pri žiadosti o poskytnutie NFP a NFP vypočítaným </w:t>
      </w:r>
      <w:proofErr w:type="spellStart"/>
      <w:r w:rsidRPr="008036D9">
        <w:rPr>
          <w:rFonts w:cstheme="minorHAnsi"/>
          <w:sz w:val="20"/>
          <w:szCs w:val="20"/>
        </w:rPr>
        <w:t>rekalkuláciou</w:t>
      </w:r>
      <w:proofErr w:type="spellEnd"/>
      <w:r w:rsidRPr="008036D9">
        <w:rPr>
          <w:rFonts w:cstheme="minorHAnsi"/>
          <w:sz w:val="20"/>
          <w:szCs w:val="20"/>
        </w:rPr>
        <w:t xml:space="preserve"> finančnej medzery; v prípade ak je rozdiel podľa predchádzajúcej vety vyšší ako NFP, ktorý je ešte Poskytovateľ povinný poskytnúť Prijímateľovi, Zmluvné strany sa zaväzujú uzavrieť dodatok k Zmluve o poskytnutí NFP, ktorým sa upraví </w:t>
      </w:r>
      <w:r w:rsidR="00733E16">
        <w:rPr>
          <w:rFonts w:cstheme="minorHAnsi"/>
          <w:sz w:val="20"/>
          <w:szCs w:val="20"/>
        </w:rPr>
        <w:t xml:space="preserve">NFP </w:t>
      </w:r>
      <w:r w:rsidRPr="008036D9">
        <w:rPr>
          <w:rFonts w:cstheme="minorHAnsi"/>
          <w:sz w:val="20"/>
          <w:szCs w:val="20"/>
        </w:rPr>
        <w:t>a zostatok rozdielu je Prijímateľ povinný vrátiť podľa VZP, alebo</w:t>
      </w:r>
    </w:p>
    <w:p w14:paraId="78B3A41C" w14:textId="68956046" w:rsidR="00B42640" w:rsidRPr="008036D9" w:rsidRDefault="00B42640" w:rsidP="004C3EE5">
      <w:pPr>
        <w:numPr>
          <w:ilvl w:val="2"/>
          <w:numId w:val="24"/>
        </w:numPr>
        <w:tabs>
          <w:tab w:val="num" w:pos="720"/>
        </w:tabs>
        <w:jc w:val="both"/>
        <w:rPr>
          <w:rFonts w:cstheme="minorHAnsi"/>
          <w:sz w:val="20"/>
          <w:szCs w:val="20"/>
        </w:rPr>
      </w:pPr>
      <w:r w:rsidRPr="008036D9">
        <w:rPr>
          <w:rFonts w:cstheme="minorHAnsi"/>
          <w:sz w:val="20"/>
          <w:szCs w:val="20"/>
        </w:rPr>
        <w:t xml:space="preserve">ak už bol poskytnutý celý NFP v súlade </w:t>
      </w:r>
      <w:r w:rsidR="00733E16">
        <w:rPr>
          <w:rFonts w:cstheme="minorHAnsi"/>
          <w:sz w:val="20"/>
          <w:szCs w:val="20"/>
        </w:rPr>
        <w:t>so Zmluvou</w:t>
      </w:r>
      <w:r w:rsidRPr="008036D9">
        <w:rPr>
          <w:rFonts w:cstheme="minorHAnsi"/>
          <w:sz w:val="20"/>
          <w:szCs w:val="20"/>
        </w:rPr>
        <w:t xml:space="preserve"> o poskytnutí NFP zo strany Poskytovateľa, Prijímateľ je povinný vrátiť poskytnutý NFP aleb</w:t>
      </w:r>
      <w:r w:rsidR="00733E16">
        <w:rPr>
          <w:rFonts w:cstheme="minorHAnsi"/>
          <w:sz w:val="20"/>
          <w:szCs w:val="20"/>
        </w:rPr>
        <w:t xml:space="preserve">o jeho časť podľa </w:t>
      </w:r>
      <w:r w:rsidRPr="008036D9">
        <w:rPr>
          <w:rFonts w:cstheme="minorHAnsi"/>
          <w:sz w:val="20"/>
          <w:szCs w:val="20"/>
        </w:rPr>
        <w:t xml:space="preserve">VZP vo výške zodpovedajúcej rozdielu medzi NFP vypočítaným na základe metódy finančnej medzery pri žiadosti o poskytnutie NFP a NFP vypočítaným </w:t>
      </w:r>
      <w:proofErr w:type="spellStart"/>
      <w:r w:rsidRPr="008036D9">
        <w:rPr>
          <w:rFonts w:cstheme="minorHAnsi"/>
          <w:sz w:val="20"/>
          <w:szCs w:val="20"/>
        </w:rPr>
        <w:t>rekalkuláciou</w:t>
      </w:r>
      <w:proofErr w:type="spellEnd"/>
      <w:r w:rsidRPr="008036D9">
        <w:rPr>
          <w:rFonts w:cstheme="minorHAnsi"/>
          <w:sz w:val="20"/>
          <w:szCs w:val="20"/>
        </w:rPr>
        <w:t xml:space="preserve"> finančnej medzery.</w:t>
      </w:r>
    </w:p>
    <w:p w14:paraId="4B296639" w14:textId="3647872C" w:rsidR="004C3EE5" w:rsidRDefault="00B42640" w:rsidP="00B42640">
      <w:pPr>
        <w:spacing w:line="240" w:lineRule="auto"/>
        <w:jc w:val="both"/>
        <w:rPr>
          <w:rFonts w:cstheme="minorHAnsi"/>
          <w:sz w:val="20"/>
          <w:szCs w:val="20"/>
        </w:rPr>
      </w:pPr>
      <w:r w:rsidRPr="008036D9">
        <w:rPr>
          <w:rFonts w:cstheme="minorHAnsi"/>
          <w:sz w:val="20"/>
          <w:szCs w:val="20"/>
        </w:rPr>
        <w:t>O zmene podmienok pre projekty generujúce príjem je Prijímateľ povinný informovať Poskytovateľa v </w:t>
      </w:r>
      <w:r w:rsidR="00E0417C">
        <w:rPr>
          <w:rFonts w:cstheme="minorHAnsi"/>
          <w:sz w:val="20"/>
          <w:szCs w:val="20"/>
        </w:rPr>
        <w:t>zm</w:t>
      </w:r>
      <w:r w:rsidR="00E0417C">
        <w:rPr>
          <w:rFonts w:cstheme="minorHAnsi"/>
          <w:sz w:val="20"/>
          <w:szCs w:val="20"/>
        </w:rPr>
        <w:t>ene</w:t>
      </w:r>
      <w:r w:rsidR="00E0417C">
        <w:rPr>
          <w:rFonts w:cstheme="minorHAnsi"/>
          <w:sz w:val="20"/>
          <w:szCs w:val="20"/>
        </w:rPr>
        <w:t xml:space="preserve"> projektu typu Monitorovanie</w:t>
      </w:r>
      <w:r w:rsidRPr="008036D9">
        <w:rPr>
          <w:rFonts w:cstheme="minorHAnsi"/>
          <w:sz w:val="20"/>
          <w:szCs w:val="20"/>
        </w:rPr>
        <w:t xml:space="preserve"> v rozsahu podľa požiadaviek Poskytovateľa. Pri vypracovaní aktualizovanej Finančnej analýzy je Prijímateľ povinný zohľadniť všetky príjmy, ktoré neboli zohľadnené pri predložení žiadosti o poskytnutie NFP. Pri Projektoch generujúcich príjmy Prijímateľ predkladá aktuali</w:t>
      </w:r>
      <w:r w:rsidR="001042C7">
        <w:rPr>
          <w:rFonts w:cstheme="minorHAnsi"/>
          <w:sz w:val="20"/>
          <w:szCs w:val="20"/>
        </w:rPr>
        <w:t xml:space="preserve">zovanú Finančnú analýzu spolu so zmenou typu monitorovanie po ukončení realizácie projektu. </w:t>
      </w:r>
    </w:p>
    <w:p w14:paraId="0EE927CB" w14:textId="7D12E407" w:rsidR="004C3EE5" w:rsidRDefault="00B42640" w:rsidP="00B42640">
      <w:pPr>
        <w:spacing w:line="240" w:lineRule="auto"/>
        <w:jc w:val="both"/>
        <w:rPr>
          <w:rFonts w:cstheme="minorHAnsi"/>
          <w:sz w:val="20"/>
          <w:szCs w:val="20"/>
        </w:rPr>
      </w:pPr>
      <w:r w:rsidRPr="008036D9">
        <w:rPr>
          <w:rFonts w:cstheme="minorHAnsi"/>
          <w:sz w:val="20"/>
          <w:szCs w:val="20"/>
        </w:rPr>
        <w:t>Pri Projektoch generujúcich príjmy, pri ktorých nie je možné dopredu objektívne odhadnúť príjem, Prijímateľ predkladá Finančnú analýzu s kalk</w:t>
      </w:r>
      <w:r w:rsidR="001042C7">
        <w:rPr>
          <w:rFonts w:cstheme="minorHAnsi"/>
          <w:sz w:val="20"/>
          <w:szCs w:val="20"/>
        </w:rPr>
        <w:t>uláciou Čistých príjmov spolu so z</w:t>
      </w:r>
      <w:r w:rsidR="001042C7">
        <w:rPr>
          <w:rFonts w:cstheme="minorHAnsi"/>
          <w:sz w:val="20"/>
          <w:szCs w:val="20"/>
        </w:rPr>
        <w:t>menou typu monitorovanie po ukončení realizácie projektu</w:t>
      </w:r>
      <w:r w:rsidR="001042C7">
        <w:rPr>
          <w:rFonts w:cstheme="minorHAnsi"/>
          <w:sz w:val="20"/>
          <w:szCs w:val="20"/>
        </w:rPr>
        <w:t xml:space="preserve"> (tretia zmena v poradí)</w:t>
      </w:r>
      <w:r w:rsidR="001042C7">
        <w:rPr>
          <w:rFonts w:cstheme="minorHAnsi"/>
          <w:sz w:val="20"/>
          <w:szCs w:val="20"/>
        </w:rPr>
        <w:t>.</w:t>
      </w:r>
    </w:p>
    <w:p w14:paraId="3F929ADD" w14:textId="213B227B" w:rsidR="00B42640" w:rsidRPr="008036D9" w:rsidRDefault="00B42640" w:rsidP="00B42640">
      <w:pPr>
        <w:spacing w:line="240" w:lineRule="auto"/>
        <w:jc w:val="both"/>
        <w:rPr>
          <w:rFonts w:cstheme="minorHAnsi"/>
          <w:sz w:val="20"/>
          <w:szCs w:val="20"/>
        </w:rPr>
      </w:pPr>
      <w:r w:rsidRPr="008036D9">
        <w:rPr>
          <w:rFonts w:cstheme="minorHAnsi"/>
          <w:sz w:val="20"/>
          <w:szCs w:val="20"/>
        </w:rPr>
        <w:t>Pri Projektoch generujúcich príjmy, ktoré vytvárajú Čisté pr</w:t>
      </w:r>
      <w:r w:rsidR="001F3742">
        <w:rPr>
          <w:rFonts w:cstheme="minorHAnsi"/>
          <w:sz w:val="20"/>
          <w:szCs w:val="20"/>
        </w:rPr>
        <w:t>íjmy počas Realizácie Projektu,</w:t>
      </w:r>
      <w:r w:rsidRPr="008036D9">
        <w:rPr>
          <w:rFonts w:cstheme="minorHAnsi"/>
          <w:sz w:val="20"/>
          <w:szCs w:val="20"/>
        </w:rPr>
        <w:t xml:space="preserve"> Prijímateľ má povinnosť deklarovať čisté príjmy v monitorovacej správe s príznakom „záverečná“ a rovnako ich aj vysporiadať a to najneskôr pred schválením záverečnej žiadosti o platbu.</w:t>
      </w:r>
    </w:p>
    <w:p w14:paraId="764BDF8E" w14:textId="77777777" w:rsidR="00B42640" w:rsidRDefault="00B42640" w:rsidP="00B42640">
      <w:pPr>
        <w:spacing w:line="240" w:lineRule="auto"/>
        <w:jc w:val="both"/>
        <w:rPr>
          <w:bCs/>
        </w:rPr>
      </w:pPr>
    </w:p>
    <w:p w14:paraId="5460AD7D" w14:textId="77777777" w:rsidR="00B42640" w:rsidRDefault="00B42640" w:rsidP="00B42640"/>
    <w:p w14:paraId="1BEC8182" w14:textId="0B1538F1" w:rsidR="00B42640" w:rsidRDefault="00B42640" w:rsidP="00B42640">
      <w:pPr>
        <w:spacing w:line="240" w:lineRule="auto"/>
        <w:jc w:val="both"/>
        <w:rPr>
          <w:bCs/>
        </w:rPr>
      </w:pPr>
    </w:p>
    <w:p w14:paraId="48362907" w14:textId="4DA38A47" w:rsidR="008036D9" w:rsidRDefault="008036D9" w:rsidP="00B42640">
      <w:pPr>
        <w:spacing w:line="240" w:lineRule="auto"/>
        <w:jc w:val="both"/>
        <w:rPr>
          <w:bCs/>
        </w:rPr>
      </w:pPr>
    </w:p>
    <w:p w14:paraId="15FCB165" w14:textId="66209C05" w:rsidR="008036D9" w:rsidRDefault="008036D9" w:rsidP="00B42640">
      <w:pPr>
        <w:spacing w:line="240" w:lineRule="auto"/>
        <w:jc w:val="both"/>
        <w:rPr>
          <w:bCs/>
        </w:rPr>
      </w:pPr>
    </w:p>
    <w:p w14:paraId="0C0E510C" w14:textId="5E7D6BCF" w:rsidR="008036D9" w:rsidRDefault="008036D9" w:rsidP="00B42640">
      <w:pPr>
        <w:spacing w:line="240" w:lineRule="auto"/>
        <w:jc w:val="both"/>
        <w:rPr>
          <w:bCs/>
        </w:rPr>
      </w:pPr>
    </w:p>
    <w:p w14:paraId="0C9DD26C" w14:textId="46987FA2" w:rsidR="008036D9" w:rsidRDefault="008036D9" w:rsidP="00B42640">
      <w:pPr>
        <w:spacing w:line="240" w:lineRule="auto"/>
        <w:jc w:val="both"/>
        <w:rPr>
          <w:bCs/>
        </w:rPr>
      </w:pPr>
    </w:p>
    <w:p w14:paraId="6365555F" w14:textId="66D30756" w:rsidR="00E038EF" w:rsidRDefault="00E038EF" w:rsidP="00B42640">
      <w:pPr>
        <w:spacing w:line="240" w:lineRule="auto"/>
        <w:jc w:val="both"/>
        <w:rPr>
          <w:bCs/>
        </w:rPr>
      </w:pPr>
    </w:p>
    <w:p w14:paraId="48CD55F1" w14:textId="24234651" w:rsidR="00E038EF" w:rsidRDefault="00E038EF" w:rsidP="00B42640">
      <w:pPr>
        <w:spacing w:line="240" w:lineRule="auto"/>
        <w:jc w:val="both"/>
        <w:rPr>
          <w:bCs/>
        </w:rPr>
      </w:pPr>
    </w:p>
    <w:p w14:paraId="784D6378" w14:textId="446EFFE8" w:rsidR="00E038EF" w:rsidRDefault="00E038EF" w:rsidP="00B42640">
      <w:pPr>
        <w:spacing w:line="240" w:lineRule="auto"/>
        <w:jc w:val="both"/>
        <w:rPr>
          <w:bCs/>
        </w:rPr>
      </w:pPr>
    </w:p>
    <w:p w14:paraId="715C379A" w14:textId="256F413B" w:rsidR="00E038EF" w:rsidRDefault="00E038EF" w:rsidP="00B42640">
      <w:pPr>
        <w:spacing w:line="240" w:lineRule="auto"/>
        <w:jc w:val="both"/>
        <w:rPr>
          <w:bCs/>
        </w:rPr>
      </w:pPr>
    </w:p>
    <w:p w14:paraId="3826353F" w14:textId="2BAB8447" w:rsidR="00E038EF" w:rsidRDefault="00E038EF" w:rsidP="00B42640">
      <w:pPr>
        <w:spacing w:line="240" w:lineRule="auto"/>
        <w:jc w:val="both"/>
        <w:rPr>
          <w:bCs/>
        </w:rPr>
      </w:pPr>
    </w:p>
    <w:p w14:paraId="6DFE52FC" w14:textId="4EE3970E" w:rsidR="00E038EF" w:rsidRDefault="00E038EF" w:rsidP="00B42640">
      <w:pPr>
        <w:spacing w:line="240" w:lineRule="auto"/>
        <w:jc w:val="both"/>
        <w:rPr>
          <w:bCs/>
        </w:rPr>
      </w:pPr>
    </w:p>
    <w:p w14:paraId="0C26CE87" w14:textId="717130A2" w:rsidR="00C85222" w:rsidRDefault="00C85222" w:rsidP="00B42640">
      <w:pPr>
        <w:spacing w:line="240" w:lineRule="auto"/>
        <w:jc w:val="both"/>
        <w:rPr>
          <w:bCs/>
        </w:rPr>
      </w:pPr>
    </w:p>
    <w:p w14:paraId="1E63A812" w14:textId="561C4264" w:rsidR="00C85222" w:rsidRDefault="00C85222" w:rsidP="00B42640">
      <w:pPr>
        <w:spacing w:line="240" w:lineRule="auto"/>
        <w:jc w:val="both"/>
        <w:rPr>
          <w:bCs/>
        </w:rPr>
      </w:pPr>
    </w:p>
    <w:p w14:paraId="3192426A" w14:textId="11399B13" w:rsidR="00C85222" w:rsidRDefault="00C85222" w:rsidP="00B42640">
      <w:pPr>
        <w:spacing w:line="240" w:lineRule="auto"/>
        <w:jc w:val="both"/>
        <w:rPr>
          <w:bCs/>
        </w:rPr>
      </w:pPr>
    </w:p>
    <w:p w14:paraId="69FED6E1" w14:textId="37234651" w:rsidR="00C85222" w:rsidRDefault="00C85222" w:rsidP="00B42640">
      <w:pPr>
        <w:spacing w:line="240" w:lineRule="auto"/>
        <w:jc w:val="both"/>
        <w:rPr>
          <w:bCs/>
        </w:rPr>
      </w:pPr>
    </w:p>
    <w:p w14:paraId="5F4D5695" w14:textId="77777777" w:rsidR="007717D3" w:rsidRDefault="007717D3" w:rsidP="00B42640">
      <w:pPr>
        <w:spacing w:line="240" w:lineRule="auto"/>
        <w:jc w:val="both"/>
        <w:rPr>
          <w:bCs/>
        </w:rPr>
      </w:pPr>
    </w:p>
    <w:p w14:paraId="5B311DAF" w14:textId="77777777" w:rsidR="00B42640" w:rsidRDefault="00B42640" w:rsidP="00B42640">
      <w:pPr>
        <w:spacing w:line="240" w:lineRule="auto"/>
        <w:jc w:val="both"/>
        <w:rPr>
          <w:bCs/>
        </w:rPr>
      </w:pPr>
    </w:p>
    <w:p w14:paraId="064CAB07" w14:textId="77777777" w:rsidR="00B42640" w:rsidRPr="0094777E" w:rsidRDefault="00B42640" w:rsidP="00B42640">
      <w:pPr>
        <w:pStyle w:val="Nadpis2"/>
        <w:keepNext w:val="0"/>
        <w:widowControl w:val="0"/>
        <w:numPr>
          <w:ilvl w:val="0"/>
          <w:numId w:val="0"/>
        </w:numPr>
        <w:rPr>
          <w:rFonts w:ascii="Calibri" w:hAnsi="Calibri"/>
          <w:sz w:val="24"/>
          <w:szCs w:val="22"/>
          <w:lang w:eastAsia="en-US"/>
        </w:rPr>
      </w:pPr>
      <w:bookmarkStart w:id="1" w:name="_Toc466636461"/>
      <w:bookmarkStart w:id="2" w:name="_Toc534784223"/>
      <w:bookmarkStart w:id="3" w:name="_Toc7078282"/>
      <w:r w:rsidRPr="0094777E">
        <w:rPr>
          <w:rFonts w:ascii="Calibri" w:hAnsi="Calibri"/>
          <w:sz w:val="24"/>
          <w:szCs w:val="22"/>
          <w:lang w:eastAsia="en-US"/>
        </w:rPr>
        <w:t>Typy čistých príjmov</w:t>
      </w:r>
      <w:bookmarkEnd w:id="1"/>
      <w:bookmarkEnd w:id="2"/>
      <w:bookmarkEnd w:id="3"/>
      <w:r w:rsidRPr="0094777E">
        <w:rPr>
          <w:rFonts w:ascii="Calibri" w:hAnsi="Calibri"/>
          <w:sz w:val="24"/>
          <w:szCs w:val="22"/>
          <w:lang w:eastAsia="en-US"/>
        </w:rPr>
        <w:t xml:space="preserve"> </w:t>
      </w:r>
    </w:p>
    <w:p w14:paraId="4649E6F6" w14:textId="77777777" w:rsidR="00B42640" w:rsidRPr="00797539" w:rsidRDefault="00B42640" w:rsidP="00B42640">
      <w:pPr>
        <w:pStyle w:val="Nadpis2"/>
        <w:keepNext w:val="0"/>
        <w:widowControl w:val="0"/>
        <w:numPr>
          <w:ilvl w:val="0"/>
          <w:numId w:val="0"/>
        </w:numPr>
        <w:rPr>
          <w:rFonts w:ascii="Calibri" w:hAnsi="Calibri"/>
          <w:color w:val="auto"/>
          <w:sz w:val="20"/>
          <w:szCs w:val="20"/>
          <w:u w:val="single"/>
          <w:lang w:eastAsia="en-US"/>
        </w:rPr>
      </w:pPr>
      <w:bookmarkStart w:id="4" w:name="_Toc534784224"/>
      <w:bookmarkStart w:id="5" w:name="_Toc7078283"/>
      <w:r w:rsidRPr="00797539">
        <w:rPr>
          <w:rFonts w:ascii="Calibri" w:hAnsi="Calibri"/>
          <w:color w:val="auto"/>
          <w:sz w:val="20"/>
          <w:szCs w:val="20"/>
          <w:u w:val="single"/>
          <w:lang w:eastAsia="en-US"/>
        </w:rPr>
        <w:t>Príjmy realizované v rámci projektu je možné rozdeliť na:</w:t>
      </w:r>
      <w:bookmarkEnd w:id="4"/>
      <w:bookmarkEnd w:id="5"/>
    </w:p>
    <w:p w14:paraId="1C2E46C8" w14:textId="77777777" w:rsidR="00B42640" w:rsidRPr="003D2960" w:rsidRDefault="00B42640" w:rsidP="00B42640">
      <w:pPr>
        <w:pStyle w:val="Odsekzoznamu"/>
        <w:widowControl w:val="0"/>
        <w:numPr>
          <w:ilvl w:val="0"/>
          <w:numId w:val="30"/>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w:t>
      </w:r>
    </w:p>
    <w:p w14:paraId="365E3136" w14:textId="77777777" w:rsidR="00B42640" w:rsidRPr="003D2960" w:rsidRDefault="00B42640" w:rsidP="00B42640">
      <w:pPr>
        <w:pStyle w:val="Odsekzoznamu"/>
        <w:widowControl w:val="0"/>
        <w:numPr>
          <w:ilvl w:val="0"/>
          <w:numId w:val="30"/>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5692B431" w14:textId="77777777" w:rsidR="00B42640" w:rsidRPr="003D2960" w:rsidRDefault="00B42640" w:rsidP="00B42640">
      <w:pPr>
        <w:widowControl w:val="0"/>
        <w:spacing w:before="120" w:after="120" w:line="288" w:lineRule="auto"/>
        <w:jc w:val="both"/>
        <w:rPr>
          <w:sz w:val="20"/>
        </w:rPr>
      </w:pPr>
      <w:r w:rsidRPr="003D2960">
        <w:rPr>
          <w:sz w:val="20"/>
        </w:rPr>
        <w:t xml:space="preserve">Do výpočtu finančnej medzery sú zaradené iba príjmy zodpovedajúce </w:t>
      </w:r>
      <w:r>
        <w:rPr>
          <w:sz w:val="20"/>
        </w:rPr>
        <w:t xml:space="preserve">nasledovnej </w:t>
      </w:r>
      <w:r w:rsidRPr="003D2960">
        <w:rPr>
          <w:sz w:val="20"/>
        </w:rPr>
        <w:t>definícii</w:t>
      </w:r>
      <w:r>
        <w:rPr>
          <w:sz w:val="20"/>
        </w:rPr>
        <w:t>:</w:t>
      </w:r>
      <w:r w:rsidRPr="003D2960">
        <w:rPr>
          <w:sz w:val="20"/>
        </w:rPr>
        <w:t xml:space="preserve">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w:t>
      </w:r>
      <w:r>
        <w:rPr>
          <w:sz w:val="20"/>
        </w:rPr>
        <w:t>I</w:t>
      </w:r>
      <w:r w:rsidRPr="003D2960">
        <w:rPr>
          <w:sz w:val="20"/>
        </w:rPr>
        <w:t xml:space="preserve">de o príjmy, ktoré vzniknú po dokončení projektu.  </w:t>
      </w:r>
    </w:p>
    <w:p w14:paraId="551791E4" w14:textId="77777777" w:rsidR="00B42640" w:rsidRPr="003D2960" w:rsidRDefault="00B42640" w:rsidP="00B42640">
      <w:pPr>
        <w:widowControl w:val="0"/>
        <w:spacing w:before="120" w:after="120" w:line="288" w:lineRule="auto"/>
        <w:jc w:val="both"/>
        <w:rPr>
          <w:sz w:val="20"/>
        </w:rPr>
      </w:pPr>
      <w:r w:rsidRPr="003D2960">
        <w:rPr>
          <w:sz w:val="20"/>
        </w:rPr>
        <w:t xml:space="preserve"> Projektmi generujúcimi príjmy sú teda projekty, ktoré:</w:t>
      </w:r>
    </w:p>
    <w:p w14:paraId="0444CCB8" w14:textId="77777777" w:rsidR="00B42640" w:rsidRPr="003D2960" w:rsidRDefault="00B42640" w:rsidP="00B42640">
      <w:pPr>
        <w:pStyle w:val="Odsekzoznamu"/>
        <w:widowControl w:val="0"/>
        <w:numPr>
          <w:ilvl w:val="0"/>
          <w:numId w:val="31"/>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E6E701B" w14:textId="77777777" w:rsidR="00B42640" w:rsidRPr="003D2960" w:rsidRDefault="00B42640" w:rsidP="00B42640">
      <w:pPr>
        <w:pStyle w:val="Odsekzoznamu"/>
        <w:widowControl w:val="0"/>
        <w:numPr>
          <w:ilvl w:val="0"/>
          <w:numId w:val="31"/>
        </w:numPr>
        <w:spacing w:before="120" w:after="120" w:line="288" w:lineRule="auto"/>
        <w:ind w:left="720" w:hanging="360"/>
        <w:contextualSpacing w:val="0"/>
        <w:jc w:val="both"/>
        <w:rPr>
          <w:sz w:val="20"/>
        </w:rPr>
      </w:pPr>
      <w:r w:rsidRPr="003D2960">
        <w:rPr>
          <w:sz w:val="20"/>
        </w:rPr>
        <w:t>zahŕňajú predaj alebo prenájom pozemkov alebo budov, a/alebo</w:t>
      </w:r>
    </w:p>
    <w:p w14:paraId="4DCF9DAA" w14:textId="77777777" w:rsidR="00B42640" w:rsidRPr="003D2960" w:rsidRDefault="00B42640" w:rsidP="00B42640">
      <w:pPr>
        <w:pStyle w:val="Odsekzoznamu"/>
        <w:widowControl w:val="0"/>
        <w:numPr>
          <w:ilvl w:val="0"/>
          <w:numId w:val="31"/>
        </w:numPr>
        <w:spacing w:before="120" w:after="120" w:line="288" w:lineRule="auto"/>
        <w:ind w:left="720" w:hanging="360"/>
        <w:contextualSpacing w:val="0"/>
        <w:jc w:val="both"/>
        <w:rPr>
          <w:sz w:val="20"/>
        </w:rPr>
      </w:pPr>
      <w:r w:rsidRPr="003D2960">
        <w:rPr>
          <w:sz w:val="20"/>
        </w:rPr>
        <w:t>zahŕňajú poskytovanie služieb za poplatok.</w:t>
      </w:r>
    </w:p>
    <w:p w14:paraId="30E06524" w14:textId="77777777" w:rsidR="00B42640" w:rsidRPr="003D2960" w:rsidRDefault="00B42640" w:rsidP="00B42640">
      <w:pPr>
        <w:widowControl w:val="0"/>
        <w:spacing w:before="120" w:after="120" w:line="288" w:lineRule="auto"/>
        <w:jc w:val="both"/>
        <w:rPr>
          <w:sz w:val="20"/>
        </w:rPr>
      </w:pPr>
      <w:r w:rsidRPr="003D2960">
        <w:rPr>
          <w:sz w:val="20"/>
        </w:rPr>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2B94DC83" w14:textId="77777777" w:rsidR="00B42640" w:rsidRPr="003D2960" w:rsidRDefault="00B42640" w:rsidP="00B42640">
      <w:pPr>
        <w:widowControl w:val="0"/>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 </w:t>
      </w:r>
    </w:p>
    <w:p w14:paraId="08DC5D8B" w14:textId="77777777" w:rsidR="00B42640" w:rsidRPr="00C503D1" w:rsidRDefault="00B42640" w:rsidP="00B42640">
      <w:pPr>
        <w:widowControl w:val="0"/>
        <w:spacing w:before="120" w:after="120" w:line="288" w:lineRule="auto"/>
        <w:jc w:val="both"/>
        <w:rPr>
          <w:sz w:val="20"/>
        </w:rPr>
      </w:pPr>
      <w:r w:rsidRPr="003D2960">
        <w:rPr>
          <w:sz w:val="20"/>
        </w:rPr>
        <w:t>Referenčné obdobie predstavuje časové obdobie (</w:t>
      </w:r>
      <w:proofErr w:type="spellStart"/>
      <w:r w:rsidRPr="003D2960">
        <w:rPr>
          <w:sz w:val="20"/>
        </w:rPr>
        <w:t>t.j</w:t>
      </w:r>
      <w:proofErr w:type="spellEnd"/>
      <w:r w:rsidRPr="003D2960">
        <w:rPr>
          <w:sz w:val="20"/>
        </w:rPr>
        <w:t xml:space="preserve">. počet rokov), v rámci ktorého sa vo finančnej analýze uvádzajú plánované hodnoty príjmov a výdavkov. Tieto plánované hodnoty týkajúce sa budúceho trendu projektu </w:t>
      </w:r>
      <w:r>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08FD49B5" w14:textId="12446EB1" w:rsidR="00B42640" w:rsidRDefault="002E7964" w:rsidP="00B42640">
      <w:pPr>
        <w:widowControl w:val="0"/>
        <w:spacing w:before="120" w:after="120" w:line="288" w:lineRule="auto"/>
        <w:jc w:val="both"/>
        <w:rPr>
          <w:sz w:val="20"/>
        </w:rPr>
      </w:pPr>
      <w:r>
        <w:rPr>
          <w:sz w:val="20"/>
        </w:rPr>
        <w:t>P</w:t>
      </w:r>
      <w:r w:rsidR="00B42640" w:rsidRPr="003D2960">
        <w:rPr>
          <w:sz w:val="20"/>
        </w:rPr>
        <w:t xml:space="preserve">re oblasť dopravy </w:t>
      </w:r>
      <w:r>
        <w:rPr>
          <w:sz w:val="20"/>
        </w:rPr>
        <w:t>sú určené v programovom období 2021 - 2027</w:t>
      </w:r>
      <w:r w:rsidR="00B42640" w:rsidRPr="003D2960">
        <w:rPr>
          <w:sz w:val="20"/>
        </w:rPr>
        <w:t xml:space="preserve"> nasledovné referenčné obdobia.</w:t>
      </w:r>
    </w:p>
    <w:p w14:paraId="78015EAC" w14:textId="77777777" w:rsidR="00B42640" w:rsidRPr="00DF64E3" w:rsidRDefault="00B42640" w:rsidP="00B42640">
      <w:pPr>
        <w:pStyle w:val="Popis"/>
        <w:widowControl w:val="0"/>
      </w:pPr>
      <w:r>
        <w:t>Referenčné obdobia pre sektor dopravy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B42640" w:rsidRPr="00DF64E3" w14:paraId="5365FE31" w14:textId="77777777" w:rsidTr="00937796">
        <w:tc>
          <w:tcPr>
            <w:tcW w:w="3865" w:type="dxa"/>
            <w:shd w:val="clear" w:color="auto" w:fill="A8D08D" w:themeFill="accent6" w:themeFillTint="99"/>
            <w:vAlign w:val="center"/>
          </w:tcPr>
          <w:p w14:paraId="6799D5FB" w14:textId="77777777" w:rsidR="00B42640" w:rsidRPr="003D2960" w:rsidRDefault="00B42640" w:rsidP="00625476">
            <w:pPr>
              <w:widowControl w:val="0"/>
              <w:jc w:val="center"/>
              <w:rPr>
                <w:b/>
                <w:sz w:val="20"/>
              </w:rPr>
            </w:pPr>
            <w:r w:rsidRPr="003D2960">
              <w:rPr>
                <w:b/>
                <w:sz w:val="20"/>
              </w:rPr>
              <w:t>Sektor</w:t>
            </w:r>
          </w:p>
        </w:tc>
        <w:tc>
          <w:tcPr>
            <w:tcW w:w="3870" w:type="dxa"/>
            <w:shd w:val="clear" w:color="auto" w:fill="A8D08D" w:themeFill="accent6" w:themeFillTint="99"/>
            <w:vAlign w:val="center"/>
          </w:tcPr>
          <w:p w14:paraId="13B2F4CC" w14:textId="77777777" w:rsidR="00B42640" w:rsidRPr="003D2960" w:rsidRDefault="00B42640" w:rsidP="00625476">
            <w:pPr>
              <w:widowControl w:val="0"/>
              <w:jc w:val="center"/>
              <w:rPr>
                <w:b/>
                <w:sz w:val="20"/>
              </w:rPr>
            </w:pPr>
            <w:r w:rsidRPr="003D2960">
              <w:rPr>
                <w:b/>
                <w:sz w:val="20"/>
              </w:rPr>
              <w:t>Referenčné obdobie</w:t>
            </w:r>
          </w:p>
        </w:tc>
      </w:tr>
      <w:tr w:rsidR="00B42640" w:rsidRPr="00DF64E3" w14:paraId="2F44234B" w14:textId="77777777" w:rsidTr="00937796">
        <w:tc>
          <w:tcPr>
            <w:tcW w:w="3865" w:type="dxa"/>
            <w:shd w:val="clear" w:color="auto" w:fill="E2EFD9" w:themeFill="accent6" w:themeFillTint="33"/>
            <w:vAlign w:val="center"/>
          </w:tcPr>
          <w:p w14:paraId="0AD56D9A" w14:textId="77777777" w:rsidR="00B42640" w:rsidRPr="003D2960" w:rsidRDefault="00B42640" w:rsidP="00625476">
            <w:pPr>
              <w:widowControl w:val="0"/>
              <w:jc w:val="center"/>
              <w:rPr>
                <w:sz w:val="20"/>
              </w:rPr>
            </w:pPr>
            <w:r w:rsidRPr="003D2960">
              <w:rPr>
                <w:sz w:val="20"/>
              </w:rPr>
              <w:t>Prístavy a letiská</w:t>
            </w:r>
          </w:p>
        </w:tc>
        <w:tc>
          <w:tcPr>
            <w:tcW w:w="3870" w:type="dxa"/>
            <w:shd w:val="clear" w:color="auto" w:fill="auto"/>
            <w:vAlign w:val="center"/>
          </w:tcPr>
          <w:p w14:paraId="38DA7195" w14:textId="77777777" w:rsidR="00B42640" w:rsidRPr="003D2960" w:rsidRDefault="00B42640" w:rsidP="00625476">
            <w:pPr>
              <w:widowControl w:val="0"/>
              <w:jc w:val="center"/>
              <w:rPr>
                <w:sz w:val="20"/>
              </w:rPr>
            </w:pPr>
            <w:r w:rsidRPr="003D2960">
              <w:rPr>
                <w:sz w:val="20"/>
              </w:rPr>
              <w:t>25</w:t>
            </w:r>
          </w:p>
        </w:tc>
      </w:tr>
      <w:tr w:rsidR="00B42640" w:rsidRPr="00DF64E3" w14:paraId="38C9225F" w14:textId="77777777" w:rsidTr="00937796">
        <w:tc>
          <w:tcPr>
            <w:tcW w:w="3865" w:type="dxa"/>
            <w:shd w:val="clear" w:color="auto" w:fill="E2EFD9" w:themeFill="accent6" w:themeFillTint="33"/>
            <w:vAlign w:val="center"/>
          </w:tcPr>
          <w:p w14:paraId="640AB6A1" w14:textId="77777777" w:rsidR="00B42640" w:rsidRPr="003D2960" w:rsidRDefault="00B42640" w:rsidP="00625476">
            <w:pPr>
              <w:widowControl w:val="0"/>
              <w:jc w:val="center"/>
              <w:rPr>
                <w:sz w:val="20"/>
              </w:rPr>
            </w:pPr>
            <w:r w:rsidRPr="003D2960">
              <w:rPr>
                <w:sz w:val="20"/>
              </w:rPr>
              <w:t>Železnice</w:t>
            </w:r>
          </w:p>
        </w:tc>
        <w:tc>
          <w:tcPr>
            <w:tcW w:w="3870" w:type="dxa"/>
            <w:shd w:val="clear" w:color="auto" w:fill="auto"/>
            <w:vAlign w:val="center"/>
          </w:tcPr>
          <w:p w14:paraId="0A0D3C26" w14:textId="77777777" w:rsidR="00B42640" w:rsidRPr="003D2960" w:rsidRDefault="00B42640" w:rsidP="00625476">
            <w:pPr>
              <w:widowControl w:val="0"/>
              <w:jc w:val="center"/>
              <w:rPr>
                <w:sz w:val="20"/>
              </w:rPr>
            </w:pPr>
            <w:r w:rsidRPr="003D2960">
              <w:rPr>
                <w:sz w:val="20"/>
              </w:rPr>
              <w:t>30</w:t>
            </w:r>
          </w:p>
        </w:tc>
      </w:tr>
      <w:tr w:rsidR="00B42640" w:rsidRPr="00DF64E3" w14:paraId="0EA119A9" w14:textId="77777777" w:rsidTr="00937796">
        <w:tc>
          <w:tcPr>
            <w:tcW w:w="3865" w:type="dxa"/>
            <w:shd w:val="clear" w:color="auto" w:fill="E2EFD9" w:themeFill="accent6" w:themeFillTint="33"/>
            <w:vAlign w:val="center"/>
          </w:tcPr>
          <w:p w14:paraId="17386291" w14:textId="77777777" w:rsidR="00B42640" w:rsidRPr="003D2960" w:rsidRDefault="00B42640" w:rsidP="00625476">
            <w:pPr>
              <w:widowControl w:val="0"/>
              <w:jc w:val="center"/>
              <w:rPr>
                <w:sz w:val="20"/>
              </w:rPr>
            </w:pPr>
            <w:r w:rsidRPr="003D2960">
              <w:rPr>
                <w:sz w:val="20"/>
              </w:rPr>
              <w:t>Pozemné komunikácie</w:t>
            </w:r>
          </w:p>
        </w:tc>
        <w:tc>
          <w:tcPr>
            <w:tcW w:w="3870" w:type="dxa"/>
            <w:shd w:val="clear" w:color="auto" w:fill="auto"/>
            <w:vAlign w:val="center"/>
          </w:tcPr>
          <w:p w14:paraId="692A1629" w14:textId="77777777" w:rsidR="00B42640" w:rsidRPr="003D2960" w:rsidRDefault="00B42640" w:rsidP="00625476">
            <w:pPr>
              <w:widowControl w:val="0"/>
              <w:jc w:val="center"/>
              <w:rPr>
                <w:sz w:val="20"/>
              </w:rPr>
            </w:pPr>
            <w:r w:rsidRPr="003D2960">
              <w:rPr>
                <w:sz w:val="20"/>
              </w:rPr>
              <w:t>25-30</w:t>
            </w:r>
          </w:p>
        </w:tc>
      </w:tr>
      <w:tr w:rsidR="00B42640" w:rsidRPr="00DF64E3" w14:paraId="7CC9F989" w14:textId="77777777" w:rsidTr="00937796">
        <w:trPr>
          <w:trHeight w:val="386"/>
        </w:trPr>
        <w:tc>
          <w:tcPr>
            <w:tcW w:w="3865" w:type="dxa"/>
            <w:shd w:val="clear" w:color="auto" w:fill="E2EFD9" w:themeFill="accent6" w:themeFillTint="33"/>
            <w:vAlign w:val="center"/>
          </w:tcPr>
          <w:p w14:paraId="5562180C" w14:textId="77777777" w:rsidR="00B42640" w:rsidRPr="003D2960" w:rsidRDefault="00B42640" w:rsidP="00625476">
            <w:pPr>
              <w:widowControl w:val="0"/>
              <w:jc w:val="center"/>
              <w:rPr>
                <w:sz w:val="20"/>
              </w:rPr>
            </w:pPr>
            <w:r w:rsidRPr="003D2960">
              <w:rPr>
                <w:sz w:val="20"/>
              </w:rPr>
              <w:t>Mestská doprava</w:t>
            </w:r>
          </w:p>
        </w:tc>
        <w:tc>
          <w:tcPr>
            <w:tcW w:w="3870" w:type="dxa"/>
            <w:shd w:val="clear" w:color="auto" w:fill="auto"/>
            <w:vAlign w:val="center"/>
          </w:tcPr>
          <w:p w14:paraId="2F417248" w14:textId="77777777" w:rsidR="00B42640" w:rsidRPr="003D2960" w:rsidRDefault="00B42640" w:rsidP="00625476">
            <w:pPr>
              <w:widowControl w:val="0"/>
              <w:jc w:val="center"/>
              <w:rPr>
                <w:sz w:val="20"/>
              </w:rPr>
            </w:pPr>
            <w:r w:rsidRPr="003D2960">
              <w:rPr>
                <w:sz w:val="20"/>
              </w:rPr>
              <w:t>25-30</w:t>
            </w:r>
          </w:p>
        </w:tc>
      </w:tr>
    </w:tbl>
    <w:p w14:paraId="6B77049D" w14:textId="77777777" w:rsidR="00B42640" w:rsidRDefault="00B42640" w:rsidP="00B42640">
      <w:pPr>
        <w:widowControl w:val="0"/>
        <w:spacing w:before="120" w:after="120" w:line="288" w:lineRule="auto"/>
        <w:jc w:val="both"/>
        <w:rPr>
          <w:sz w:val="20"/>
        </w:rPr>
      </w:pPr>
    </w:p>
    <w:p w14:paraId="4FF8E103" w14:textId="3591DE30" w:rsidR="00B42640" w:rsidRPr="003D2960" w:rsidRDefault="00B42640" w:rsidP="00B42640">
      <w:pPr>
        <w:widowControl w:val="0"/>
        <w:spacing w:before="120" w:after="120" w:line="288" w:lineRule="auto"/>
        <w:jc w:val="both"/>
        <w:rPr>
          <w:sz w:val="20"/>
        </w:rPr>
      </w:pPr>
      <w:r w:rsidRPr="003D2960">
        <w:rPr>
          <w:sz w:val="20"/>
        </w:rPr>
        <w:t>Potenciálny čistý príjem sa počas stanoven</w:t>
      </w:r>
      <w:r w:rsidR="00C123AF">
        <w:rPr>
          <w:sz w:val="20"/>
        </w:rPr>
        <w:t>ého referenčného obdobia určí</w:t>
      </w:r>
      <w:r w:rsidRPr="003D2960">
        <w:rPr>
          <w:sz w:val="20"/>
        </w:rPr>
        <w:t xml:space="preserve"> výpočtom </w:t>
      </w:r>
      <w:r w:rsidRPr="003D2960">
        <w:rPr>
          <w:sz w:val="20"/>
          <w:u w:val="single"/>
        </w:rPr>
        <w:t>finančnej medzery</w:t>
      </w:r>
      <w:r w:rsidRPr="003D2960">
        <w:rPr>
          <w:sz w:val="20"/>
        </w:rPr>
        <w:t xml:space="preserve"> prostredníctvom spracovania analýzy nákladov a prínosov projektu (</w:t>
      </w:r>
      <w:proofErr w:type="spellStart"/>
      <w:r w:rsidRPr="003D2960">
        <w:rPr>
          <w:sz w:val="20"/>
        </w:rPr>
        <w:t>cost</w:t>
      </w:r>
      <w:proofErr w:type="spellEnd"/>
      <w:r w:rsidRPr="003D2960">
        <w:rPr>
          <w:sz w:val="20"/>
        </w:rPr>
        <w:t xml:space="preserve">-benefit analýzy) v súlade s </w:t>
      </w:r>
      <w:r w:rsidRPr="003D2960">
        <w:rPr>
          <w:i/>
          <w:sz w:val="20"/>
        </w:rPr>
        <w:t>„Metodickou príručkou k tvorbe analýz výdavkov a príjmov (CBA)</w:t>
      </w:r>
      <w:r w:rsidR="00662797" w:rsidRPr="003D2960">
        <w:rPr>
          <w:i/>
          <w:sz w:val="20"/>
        </w:rPr>
        <w:t>“</w:t>
      </w:r>
      <w:r w:rsidR="00662797">
        <w:rPr>
          <w:i/>
          <w:sz w:val="20"/>
        </w:rPr>
        <w:t>, ktorá je zverejnená na webovom sídle MD SR</w:t>
      </w:r>
      <w:r w:rsidR="001B380B">
        <w:rPr>
          <w:i/>
          <w:sz w:val="20"/>
        </w:rPr>
        <w:t xml:space="preserve"> - </w:t>
      </w:r>
      <w:hyperlink r:id="rId8" w:history="1">
        <w:r w:rsidR="001B380B">
          <w:rPr>
            <w:rStyle w:val="Hypertextovprepojenie"/>
          </w:rPr>
          <w:t xml:space="preserve">Metodika pre vypracovanie CBA </w:t>
        </w:r>
        <w:r w:rsidR="001B380B">
          <w:rPr>
            <w:rStyle w:val="Hypertextovprepojenie"/>
          </w:rPr>
          <w:lastRenderedPageBreak/>
          <w:t>(mindop.sk)</w:t>
        </w:r>
      </w:hyperlink>
      <w:r w:rsidRPr="003D2960">
        <w:rPr>
          <w:i/>
          <w:sz w:val="20"/>
        </w:rPr>
        <w:t>.</w:t>
      </w:r>
      <w:r w:rsidRPr="003D2960">
        <w:rPr>
          <w:sz w:val="20"/>
        </w:rPr>
        <w:t xml:space="preserve"> </w:t>
      </w:r>
    </w:p>
    <w:p w14:paraId="19DD122C" w14:textId="36977B4C" w:rsidR="00B42640" w:rsidRDefault="00B42640" w:rsidP="00B42640">
      <w:pPr>
        <w:pStyle w:val="Popis"/>
        <w:widowControl w:val="0"/>
        <w:jc w:val="both"/>
        <w:rPr>
          <w:sz w:val="20"/>
          <w:szCs w:val="20"/>
        </w:rPr>
      </w:pPr>
    </w:p>
    <w:p w14:paraId="6C61D717" w14:textId="77777777" w:rsidR="001B380B" w:rsidRPr="001B380B" w:rsidRDefault="001B380B" w:rsidP="001B380B">
      <w:pPr>
        <w:rPr>
          <w:lang w:eastAsia="sk-SK"/>
        </w:rPr>
      </w:pPr>
    </w:p>
    <w:p w14:paraId="510EF2E8" w14:textId="77777777" w:rsidR="00B42640" w:rsidRPr="00DF7664" w:rsidRDefault="00B42640" w:rsidP="00B42640">
      <w:pPr>
        <w:pStyle w:val="Popis"/>
        <w:widowControl w:val="0"/>
        <w:jc w:val="both"/>
      </w:pPr>
      <w:r w:rsidRPr="00927FA9">
        <w:rPr>
          <w:sz w:val="20"/>
          <w:szCs w:val="20"/>
        </w:rPr>
        <w:t>Výpočet finančnej medzery</w:t>
      </w:r>
    </w:p>
    <w:p w14:paraId="4934D38D" w14:textId="708918E9" w:rsidR="00B42640" w:rsidRPr="00A956FF" w:rsidRDefault="00B42640" w:rsidP="00A956FF">
      <w:pPr>
        <w:widowControl w:val="0"/>
        <w:spacing w:before="120" w:after="120" w:line="288" w:lineRule="auto"/>
        <w:jc w:val="both"/>
        <w:rPr>
          <w:rStyle w:val="longtext1"/>
          <w:rFonts w:cstheme="minorBidi"/>
        </w:rPr>
      </w:pPr>
      <w:r>
        <w:rPr>
          <w:noProof/>
          <w:sz w:val="16"/>
          <w:lang w:eastAsia="sk-SK"/>
        </w:rPr>
        <w:drawing>
          <wp:inline distT="0" distB="0" distL="0" distR="0" wp14:anchorId="3AA592BD" wp14:editId="7CFB3167">
            <wp:extent cx="5105400" cy="2238375"/>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5400" cy="2238375"/>
                    </a:xfrm>
                    <a:prstGeom prst="rect">
                      <a:avLst/>
                    </a:prstGeom>
                    <a:noFill/>
                    <a:ln>
                      <a:noFill/>
                    </a:ln>
                  </pic:spPr>
                </pic:pic>
              </a:graphicData>
            </a:graphic>
          </wp:inline>
        </w:drawing>
      </w:r>
    </w:p>
    <w:p w14:paraId="0AA4B698" w14:textId="7E793A6C" w:rsidR="00B42640" w:rsidRPr="003D2960" w:rsidRDefault="00B42640" w:rsidP="00B42640">
      <w:pPr>
        <w:widowControl w:val="0"/>
        <w:spacing w:before="120" w:after="120" w:line="288" w:lineRule="auto"/>
        <w:jc w:val="both"/>
        <w:rPr>
          <w:sz w:val="20"/>
        </w:rPr>
      </w:pPr>
      <w:r w:rsidRPr="003D2960">
        <w:rPr>
          <w:sz w:val="20"/>
        </w:rPr>
        <w:t xml:space="preserve">Iné peňažné príjmy definuje </w:t>
      </w:r>
      <w:r w:rsidR="002F1A6A">
        <w:rPr>
          <w:sz w:val="20"/>
        </w:rPr>
        <w:t>SO</w:t>
      </w:r>
      <w:r w:rsidRPr="003D2960">
        <w:rPr>
          <w:sz w:val="20"/>
        </w:rPr>
        <w:t xml:space="preserve">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Pr>
          <w:sz w:val="20"/>
        </w:rPr>
        <w:t xml:space="preserve">čisté </w:t>
      </w:r>
      <w:r w:rsidRPr="003D2960">
        <w:rPr>
          <w:sz w:val="20"/>
        </w:rPr>
        <w:t>príjmy musí prijímateľ vysporiadať najneskôr pri pred</w:t>
      </w:r>
      <w:r w:rsidR="00EF4209">
        <w:rPr>
          <w:sz w:val="20"/>
        </w:rPr>
        <w:t xml:space="preserve">ložení záverečnej </w:t>
      </w:r>
      <w:proofErr w:type="spellStart"/>
      <w:r w:rsidR="00EF4209">
        <w:rPr>
          <w:sz w:val="20"/>
        </w:rPr>
        <w:t>ŽoP</w:t>
      </w:r>
      <w:proofErr w:type="spellEnd"/>
      <w:r w:rsidR="00EF4209">
        <w:rPr>
          <w:sz w:val="20"/>
        </w:rPr>
        <w:t xml:space="preserve"> na SO</w:t>
      </w:r>
      <w:r w:rsidRPr="003D2960">
        <w:rPr>
          <w:sz w:val="20"/>
        </w:rPr>
        <w:t xml:space="preserve">. Tieto peňažné príjmy </w:t>
      </w:r>
      <w:r w:rsidR="002F1A6A">
        <w:rPr>
          <w:sz w:val="20"/>
        </w:rPr>
        <w:t xml:space="preserve">sa nezahŕňajú </w:t>
      </w:r>
      <w:r w:rsidRPr="003D2960">
        <w:rPr>
          <w:sz w:val="20"/>
        </w:rPr>
        <w:t>do výpočtu finančnej medzery.</w:t>
      </w:r>
    </w:p>
    <w:p w14:paraId="6BFDAE0C" w14:textId="77777777" w:rsidR="00B42640" w:rsidRDefault="00B42640" w:rsidP="00B42640">
      <w:pPr>
        <w:pStyle w:val="Popis"/>
        <w:widowControl w:val="0"/>
      </w:pPr>
      <w:r>
        <w:t>Príklady príjmov projektu</w:t>
      </w:r>
    </w:p>
    <w:p w14:paraId="7E0AF179" w14:textId="77777777" w:rsidR="00B42640" w:rsidRPr="0053516C" w:rsidRDefault="00B42640" w:rsidP="00B42640">
      <w:pPr>
        <w:pStyle w:val="Popis"/>
        <w:widowControl w:val="0"/>
        <w:rPr>
          <w:rFonts w:ascii="Calibri" w:eastAsia="Calibri" w:hAnsi="Calibri"/>
          <w:sz w:val="22"/>
          <w:szCs w:val="22"/>
        </w:rPr>
      </w:pPr>
      <w:r>
        <w:rPr>
          <w:rFonts w:ascii="Calibri" w:eastAsia="Calibri" w:hAnsi="Calibri"/>
          <w:noProof/>
          <w:sz w:val="22"/>
          <w:szCs w:val="22"/>
        </w:rPr>
        <w:drawing>
          <wp:inline distT="0" distB="0" distL="0" distR="0" wp14:anchorId="4BA326F7" wp14:editId="4D1AB6F5">
            <wp:extent cx="5105400" cy="175260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05400" cy="1752600"/>
                    </a:xfrm>
                    <a:prstGeom prst="rect">
                      <a:avLst/>
                    </a:prstGeom>
                    <a:noFill/>
                    <a:ln>
                      <a:noFill/>
                    </a:ln>
                  </pic:spPr>
                </pic:pic>
              </a:graphicData>
            </a:graphic>
          </wp:inline>
        </w:drawing>
      </w:r>
    </w:p>
    <w:p w14:paraId="04DEBD8D" w14:textId="474D3A72" w:rsidR="00B42640" w:rsidRPr="003D2960" w:rsidRDefault="00B42640" w:rsidP="00B42640">
      <w:pPr>
        <w:widowControl w:val="0"/>
        <w:spacing w:before="120" w:after="120" w:line="288" w:lineRule="auto"/>
        <w:jc w:val="both"/>
        <w:rPr>
          <w:sz w:val="20"/>
        </w:rPr>
      </w:pPr>
      <w:r>
        <w:rPr>
          <w:sz w:val="20"/>
        </w:rPr>
        <w:t>Výška</w:t>
      </w:r>
      <w:r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v </w:t>
      </w:r>
      <w:proofErr w:type="spellStart"/>
      <w:r>
        <w:rPr>
          <w:sz w:val="20"/>
        </w:rPr>
        <w:t>ŽoNFP</w:t>
      </w:r>
      <w:proofErr w:type="spellEnd"/>
      <w:r>
        <w:rPr>
          <w:sz w:val="20"/>
        </w:rPr>
        <w:t xml:space="preserve"> </w:t>
      </w:r>
      <w:r w:rsidRPr="003D2960">
        <w:rPr>
          <w:sz w:val="20"/>
        </w:rPr>
        <w:t>špecifik</w:t>
      </w:r>
      <w:r>
        <w:rPr>
          <w:sz w:val="20"/>
        </w:rPr>
        <w:t>uje</w:t>
      </w:r>
      <w:r w:rsidRPr="003D2960">
        <w:rPr>
          <w:sz w:val="20"/>
        </w:rPr>
        <w:t>, či je registrovaný ako platiteľ DPH alebo nie. DPH by mala byť obsiahnutá v CBA, ak žiadateľ nie je registrovaný ako platiteľ DPH. Ak je DPH refundovateľná</w:t>
      </w:r>
      <w:r w:rsidR="00C123AF">
        <w:rPr>
          <w:sz w:val="20"/>
        </w:rPr>
        <w:t>,</w:t>
      </w:r>
      <w:r w:rsidRPr="003D2960">
        <w:rPr>
          <w:sz w:val="20"/>
        </w:rPr>
        <w:t xml:space="preserve"> príjmy aj výdavky by sa mali zakladať na číselných hodnotách bez DPH. V prípade, že žiadateľ má v projekte oba druhy aktivít (podliehajúce DPH a nepodliehajúce DPH) musí pri predložení </w:t>
      </w:r>
      <w:r>
        <w:rPr>
          <w:sz w:val="20"/>
        </w:rPr>
        <w:t>CBA (</w:t>
      </w:r>
      <w:r w:rsidRPr="003D2960">
        <w:rPr>
          <w:sz w:val="20"/>
        </w:rPr>
        <w:t>finančnej analýzy</w:t>
      </w:r>
      <w:r w:rsidR="00EF4209">
        <w:rPr>
          <w:sz w:val="20"/>
        </w:rPr>
        <w:t>) jednoznačne deklarovať SO</w:t>
      </w:r>
      <w:r w:rsidRPr="003D2960">
        <w:rPr>
          <w:sz w:val="20"/>
        </w:rPr>
        <w:t xml:space="preserve"> ich rozdelenie, aby sa predišlo následnému prepočtu finančnej m</w:t>
      </w:r>
      <w:r>
        <w:rPr>
          <w:sz w:val="20"/>
        </w:rPr>
        <w:t>edzery a </w:t>
      </w:r>
      <w:proofErr w:type="spellStart"/>
      <w:r>
        <w:rPr>
          <w:sz w:val="20"/>
        </w:rPr>
        <w:t>vratkám</w:t>
      </w:r>
      <w:proofErr w:type="spellEnd"/>
      <w:r>
        <w:rPr>
          <w:sz w:val="20"/>
        </w:rPr>
        <w:t>.</w:t>
      </w:r>
    </w:p>
    <w:p w14:paraId="701A70CF" w14:textId="77777777" w:rsidR="00B42640" w:rsidRPr="00606DC5" w:rsidRDefault="00B42640" w:rsidP="00B42640">
      <w:pPr>
        <w:widowControl w:val="0"/>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Pr>
          <w:i/>
          <w:sz w:val="20"/>
        </w:rPr>
        <w:t>ta</w:t>
      </w:r>
      <w:r w:rsidRPr="00606DC5">
        <w:rPr>
          <w:i/>
          <w:sz w:val="20"/>
        </w:rPr>
        <w:t>vajú od oprávnených výdavkov projektu.</w:t>
      </w:r>
    </w:p>
    <w:p w14:paraId="4166A3F2" w14:textId="021FFE7F" w:rsidR="00B42640" w:rsidRPr="0094777E" w:rsidRDefault="00B42640" w:rsidP="00B42640">
      <w:pPr>
        <w:pStyle w:val="Nadpis2"/>
        <w:keepNext w:val="0"/>
        <w:widowControl w:val="0"/>
        <w:numPr>
          <w:ilvl w:val="0"/>
          <w:numId w:val="0"/>
        </w:numPr>
        <w:rPr>
          <w:rFonts w:ascii="Calibri" w:hAnsi="Calibri"/>
          <w:sz w:val="24"/>
          <w:szCs w:val="22"/>
          <w:lang w:eastAsia="en-US"/>
        </w:rPr>
      </w:pPr>
      <w:bookmarkStart w:id="6" w:name="_Toc466636462"/>
      <w:bookmarkStart w:id="7" w:name="_Toc534784225"/>
      <w:bookmarkStart w:id="8" w:name="_Toc7078284"/>
      <w:r w:rsidRPr="0094777E">
        <w:rPr>
          <w:rFonts w:ascii="Calibri" w:hAnsi="Calibri"/>
          <w:sz w:val="24"/>
          <w:szCs w:val="22"/>
          <w:lang w:eastAsia="en-US"/>
        </w:rPr>
        <w:t>Stanovenie výšky čistých príjmov</w:t>
      </w:r>
      <w:bookmarkEnd w:id="6"/>
      <w:bookmarkEnd w:id="7"/>
      <w:bookmarkEnd w:id="8"/>
    </w:p>
    <w:p w14:paraId="19AC4060" w14:textId="53A432E9" w:rsidR="00B42640" w:rsidRPr="003D2960" w:rsidRDefault="00FC6124" w:rsidP="00B42640">
      <w:pPr>
        <w:widowControl w:val="0"/>
        <w:spacing w:before="120" w:after="120" w:line="288" w:lineRule="auto"/>
        <w:jc w:val="both"/>
        <w:rPr>
          <w:sz w:val="20"/>
        </w:rPr>
      </w:pPr>
      <w:r>
        <w:rPr>
          <w:sz w:val="20"/>
        </w:rPr>
        <w:t>P</w:t>
      </w:r>
      <w:r w:rsidR="00B42640" w:rsidRPr="003D2960">
        <w:rPr>
          <w:sz w:val="20"/>
        </w:rPr>
        <w:t>rijímateľ</w:t>
      </w:r>
      <w:r>
        <w:rPr>
          <w:sz w:val="20"/>
        </w:rPr>
        <w:t xml:space="preserve"> je</w:t>
      </w:r>
      <w:r w:rsidR="00B42640" w:rsidRPr="003D2960">
        <w:rPr>
          <w:sz w:val="20"/>
        </w:rPr>
        <w:t xml:space="preserve"> povinný v prípade projektov generujúcich príjem, určiť potenciálnu výšku čistého príjmu vopred, </w:t>
      </w:r>
      <w:proofErr w:type="spellStart"/>
      <w:r w:rsidR="00B42640" w:rsidRPr="003D2960">
        <w:rPr>
          <w:sz w:val="20"/>
        </w:rPr>
        <w:t>t.j</w:t>
      </w:r>
      <w:proofErr w:type="spellEnd"/>
      <w:r w:rsidR="00B42640" w:rsidRPr="003D2960">
        <w:rPr>
          <w:sz w:val="20"/>
        </w:rPr>
        <w:t>. p</w:t>
      </w:r>
      <w:r w:rsidR="00EF4209">
        <w:rPr>
          <w:sz w:val="20"/>
        </w:rPr>
        <w:t xml:space="preserve">red </w:t>
      </w:r>
      <w:r w:rsidR="00EF4209">
        <w:rPr>
          <w:sz w:val="20"/>
        </w:rPr>
        <w:lastRenderedPageBreak/>
        <w:t xml:space="preserve">predložením </w:t>
      </w:r>
      <w:proofErr w:type="spellStart"/>
      <w:r w:rsidR="00EF4209">
        <w:rPr>
          <w:sz w:val="20"/>
        </w:rPr>
        <w:t>ŽoNFP</w:t>
      </w:r>
      <w:proofErr w:type="spellEnd"/>
      <w:r w:rsidR="00EF4209">
        <w:rPr>
          <w:sz w:val="20"/>
        </w:rPr>
        <w:t xml:space="preserve"> na SO</w:t>
      </w:r>
      <w:r w:rsidR="00B42640" w:rsidRPr="003D2960">
        <w:rPr>
          <w:sz w:val="20"/>
        </w:rPr>
        <w:t>. Pre určenie potenciálneho čistého príjmu prijímateľ využije metódu diskontovaného čistého príjmu projektu pri zohľadnení referenčného obdobia daného sektora.</w:t>
      </w:r>
    </w:p>
    <w:p w14:paraId="002E64F7" w14:textId="4841109E" w:rsidR="00B42640" w:rsidRDefault="00B42640" w:rsidP="00B42640">
      <w:pPr>
        <w:widowControl w:val="0"/>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w:t>
      </w:r>
      <w:r w:rsidR="00EF4209">
        <w:rPr>
          <w:sz w:val="20"/>
        </w:rPr>
        <w:t>ia dokumentov pre ukončenie PSK</w:t>
      </w:r>
      <w:r w:rsidRPr="003D2960">
        <w:rPr>
          <w:sz w:val="20"/>
        </w:rPr>
        <w:t>, odpočíta z výdavkov vykázaných EK.</w:t>
      </w:r>
    </w:p>
    <w:p w14:paraId="0EE41327" w14:textId="77777777" w:rsidR="00B42640" w:rsidRPr="00C503D1" w:rsidRDefault="00B42640" w:rsidP="00B42640">
      <w:pPr>
        <w:pStyle w:val="Popis"/>
        <w:widowControl w:val="0"/>
      </w:pPr>
      <w:r w:rsidRPr="00C503D1">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B42640" w:rsidRPr="00D73CAF" w14:paraId="59FB7DA8" w14:textId="77777777" w:rsidTr="00C123AF">
        <w:tc>
          <w:tcPr>
            <w:tcW w:w="2802" w:type="dxa"/>
            <w:shd w:val="clear" w:color="auto" w:fill="A8D08D" w:themeFill="accent6" w:themeFillTint="99"/>
          </w:tcPr>
          <w:p w14:paraId="5EBF7438" w14:textId="77777777" w:rsidR="00B42640" w:rsidRPr="003D2960" w:rsidRDefault="00B42640" w:rsidP="00625476">
            <w:pPr>
              <w:widowControl w:val="0"/>
              <w:spacing w:before="120" w:after="120" w:line="288" w:lineRule="auto"/>
              <w:jc w:val="center"/>
              <w:rPr>
                <w:b/>
                <w:sz w:val="20"/>
              </w:rPr>
            </w:pPr>
            <w:r w:rsidRPr="003D2960">
              <w:rPr>
                <w:b/>
                <w:sz w:val="20"/>
              </w:rPr>
              <w:t>Možnosť odhadu príjmov</w:t>
            </w:r>
          </w:p>
        </w:tc>
        <w:tc>
          <w:tcPr>
            <w:tcW w:w="3129" w:type="dxa"/>
            <w:shd w:val="clear" w:color="auto" w:fill="A8D08D" w:themeFill="accent6" w:themeFillTint="99"/>
          </w:tcPr>
          <w:p w14:paraId="71DA6143" w14:textId="77777777" w:rsidR="00B42640" w:rsidRPr="003D2960" w:rsidRDefault="00B42640" w:rsidP="00625476">
            <w:pPr>
              <w:widowControl w:val="0"/>
              <w:spacing w:before="120" w:after="120" w:line="288" w:lineRule="auto"/>
              <w:jc w:val="center"/>
              <w:rPr>
                <w:sz w:val="20"/>
              </w:rPr>
            </w:pPr>
            <w:r w:rsidRPr="003D2960">
              <w:rPr>
                <w:b/>
                <w:sz w:val="20"/>
              </w:rPr>
              <w:t>Poplatky</w:t>
            </w:r>
          </w:p>
        </w:tc>
        <w:tc>
          <w:tcPr>
            <w:tcW w:w="2966" w:type="dxa"/>
            <w:shd w:val="clear" w:color="auto" w:fill="A8D08D" w:themeFill="accent6" w:themeFillTint="99"/>
          </w:tcPr>
          <w:p w14:paraId="61D24059" w14:textId="77777777" w:rsidR="00B42640" w:rsidRPr="003D2960" w:rsidRDefault="00B42640" w:rsidP="00625476">
            <w:pPr>
              <w:widowControl w:val="0"/>
              <w:spacing w:before="120" w:after="120" w:line="288" w:lineRule="auto"/>
              <w:jc w:val="center"/>
              <w:rPr>
                <w:b/>
                <w:sz w:val="20"/>
              </w:rPr>
            </w:pPr>
            <w:r w:rsidRPr="003D2960">
              <w:rPr>
                <w:b/>
                <w:sz w:val="20"/>
              </w:rPr>
              <w:t>Odhadovaný dopyt</w:t>
            </w:r>
          </w:p>
        </w:tc>
      </w:tr>
      <w:tr w:rsidR="00B42640" w:rsidRPr="00D73CAF" w14:paraId="2554050A" w14:textId="77777777" w:rsidTr="00C123AF">
        <w:trPr>
          <w:trHeight w:val="770"/>
        </w:trPr>
        <w:tc>
          <w:tcPr>
            <w:tcW w:w="2802" w:type="dxa"/>
            <w:vMerge w:val="restart"/>
            <w:shd w:val="clear" w:color="auto" w:fill="E2EFD9" w:themeFill="accent6" w:themeFillTint="33"/>
            <w:vAlign w:val="center"/>
          </w:tcPr>
          <w:p w14:paraId="20108261" w14:textId="473037DB" w:rsidR="00B42640" w:rsidRPr="003D2960" w:rsidRDefault="00B42640" w:rsidP="00EF4209">
            <w:pPr>
              <w:widowControl w:val="0"/>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 xml:space="preserve">objektívne </w:t>
            </w:r>
            <w:r w:rsidR="00EF4209">
              <w:rPr>
                <w:sz w:val="20"/>
              </w:rPr>
              <w:t>možný</w:t>
            </w:r>
          </w:p>
        </w:tc>
        <w:tc>
          <w:tcPr>
            <w:tcW w:w="3129" w:type="dxa"/>
            <w:vAlign w:val="center"/>
          </w:tcPr>
          <w:p w14:paraId="34668FBE" w14:textId="77777777" w:rsidR="00B42640" w:rsidRPr="003D2960" w:rsidRDefault="00B42640" w:rsidP="00625476">
            <w:pPr>
              <w:widowControl w:val="0"/>
              <w:spacing w:before="120" w:after="120" w:line="288" w:lineRule="auto"/>
              <w:rPr>
                <w:sz w:val="20"/>
              </w:rPr>
            </w:pPr>
            <w:r w:rsidRPr="003D2960">
              <w:rPr>
                <w:sz w:val="20"/>
              </w:rPr>
              <w:t>Jasne stanovená cenová stratégia</w:t>
            </w:r>
          </w:p>
        </w:tc>
        <w:tc>
          <w:tcPr>
            <w:tcW w:w="2966" w:type="dxa"/>
            <w:shd w:val="clear" w:color="auto" w:fill="auto"/>
            <w:vAlign w:val="center"/>
          </w:tcPr>
          <w:p w14:paraId="5DA530F5" w14:textId="77777777" w:rsidR="00B42640" w:rsidRPr="003D2960" w:rsidRDefault="00B42640" w:rsidP="00625476">
            <w:pPr>
              <w:widowControl w:val="0"/>
              <w:spacing w:before="120" w:after="120" w:line="288" w:lineRule="auto"/>
              <w:rPr>
                <w:sz w:val="20"/>
              </w:rPr>
            </w:pPr>
            <w:r w:rsidRPr="003D2960">
              <w:rPr>
                <w:sz w:val="20"/>
              </w:rPr>
              <w:t>Dostupné modely finančnej analýzy a údaje</w:t>
            </w:r>
          </w:p>
        </w:tc>
      </w:tr>
      <w:tr w:rsidR="00B42640" w:rsidRPr="00D73CAF" w14:paraId="206F03B5" w14:textId="77777777" w:rsidTr="00C123AF">
        <w:trPr>
          <w:trHeight w:val="689"/>
        </w:trPr>
        <w:tc>
          <w:tcPr>
            <w:tcW w:w="2802" w:type="dxa"/>
            <w:vMerge/>
            <w:shd w:val="clear" w:color="auto" w:fill="E2EFD9" w:themeFill="accent6" w:themeFillTint="33"/>
            <w:vAlign w:val="center"/>
          </w:tcPr>
          <w:p w14:paraId="235228E7" w14:textId="77777777" w:rsidR="00B42640" w:rsidRPr="003D2960" w:rsidRDefault="00B42640" w:rsidP="00625476">
            <w:pPr>
              <w:widowControl w:val="0"/>
              <w:spacing w:before="120" w:after="120" w:line="288" w:lineRule="auto"/>
              <w:jc w:val="center"/>
              <w:rPr>
                <w:sz w:val="20"/>
              </w:rPr>
            </w:pPr>
          </w:p>
        </w:tc>
        <w:tc>
          <w:tcPr>
            <w:tcW w:w="3129" w:type="dxa"/>
            <w:vAlign w:val="center"/>
          </w:tcPr>
          <w:p w14:paraId="21F7D859" w14:textId="77777777" w:rsidR="00B42640" w:rsidRPr="003D2960" w:rsidRDefault="00B42640" w:rsidP="00625476">
            <w:pPr>
              <w:widowControl w:val="0"/>
              <w:spacing w:before="120" w:after="120" w:line="288" w:lineRule="auto"/>
              <w:rPr>
                <w:sz w:val="20"/>
              </w:rPr>
            </w:pPr>
            <w:r w:rsidRPr="003D2960">
              <w:rPr>
                <w:sz w:val="20"/>
              </w:rPr>
              <w:t>Predvídateľná politika</w:t>
            </w:r>
          </w:p>
        </w:tc>
        <w:tc>
          <w:tcPr>
            <w:tcW w:w="2966" w:type="dxa"/>
            <w:shd w:val="clear" w:color="auto" w:fill="auto"/>
            <w:vAlign w:val="center"/>
          </w:tcPr>
          <w:p w14:paraId="3C338B2D" w14:textId="77777777" w:rsidR="00B42640" w:rsidRPr="003D2960" w:rsidRDefault="00B42640" w:rsidP="00625476">
            <w:pPr>
              <w:widowControl w:val="0"/>
              <w:spacing w:before="120" w:after="120" w:line="288" w:lineRule="auto"/>
              <w:rPr>
                <w:sz w:val="20"/>
              </w:rPr>
            </w:pPr>
            <w:r w:rsidRPr="003D2960">
              <w:rPr>
                <w:sz w:val="20"/>
              </w:rPr>
              <w:t>Odborné stanoviská na základe modelov a údajov</w:t>
            </w:r>
          </w:p>
        </w:tc>
      </w:tr>
      <w:tr w:rsidR="00B42640" w:rsidRPr="00D73CAF" w14:paraId="0FFFD0F3" w14:textId="77777777" w:rsidTr="00C123AF">
        <w:trPr>
          <w:trHeight w:val="851"/>
        </w:trPr>
        <w:tc>
          <w:tcPr>
            <w:tcW w:w="2802" w:type="dxa"/>
            <w:shd w:val="clear" w:color="auto" w:fill="E2EFD9" w:themeFill="accent6" w:themeFillTint="33"/>
            <w:vAlign w:val="center"/>
          </w:tcPr>
          <w:p w14:paraId="5DEDFFBC" w14:textId="2BCA8773" w:rsidR="00B42640" w:rsidRPr="003D2960" w:rsidRDefault="00B42640" w:rsidP="00625476">
            <w:pPr>
              <w:widowControl w:val="0"/>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w:t>
            </w:r>
            <w:r w:rsidR="00EF4209">
              <w:rPr>
                <w:sz w:val="20"/>
              </w:rPr>
              <w:t>bjektívne možný</w:t>
            </w:r>
          </w:p>
        </w:tc>
        <w:tc>
          <w:tcPr>
            <w:tcW w:w="3129" w:type="dxa"/>
            <w:vAlign w:val="center"/>
          </w:tcPr>
          <w:p w14:paraId="0E78A5FE" w14:textId="77777777" w:rsidR="00B42640" w:rsidRPr="003D2960" w:rsidRDefault="00B42640" w:rsidP="00625476">
            <w:pPr>
              <w:widowControl w:val="0"/>
              <w:spacing w:before="120" w:after="120" w:line="288" w:lineRule="auto"/>
              <w:rPr>
                <w:sz w:val="20"/>
              </w:rPr>
            </w:pPr>
            <w:r w:rsidRPr="003D2960">
              <w:rPr>
                <w:sz w:val="20"/>
              </w:rPr>
              <w:t>Nedostatok údajov –nový dopyt vytváraný ponukou</w:t>
            </w:r>
          </w:p>
        </w:tc>
        <w:tc>
          <w:tcPr>
            <w:tcW w:w="2966" w:type="dxa"/>
            <w:vAlign w:val="center"/>
          </w:tcPr>
          <w:p w14:paraId="4584BAD1" w14:textId="77777777" w:rsidR="00B42640" w:rsidRPr="003D2960" w:rsidRDefault="00B42640" w:rsidP="00625476">
            <w:pPr>
              <w:widowControl w:val="0"/>
              <w:spacing w:before="120" w:after="120" w:line="288" w:lineRule="auto"/>
              <w:rPr>
                <w:sz w:val="20"/>
              </w:rPr>
            </w:pPr>
            <w:r w:rsidRPr="003D2960">
              <w:rPr>
                <w:sz w:val="20"/>
              </w:rPr>
              <w:t>Nedostatok údajov – odborné stanoviská sú príliš subjektívne</w:t>
            </w:r>
          </w:p>
        </w:tc>
      </w:tr>
    </w:tbl>
    <w:p w14:paraId="63FFB8C4" w14:textId="65CAC9CD" w:rsidR="00B42640" w:rsidRPr="0053516C" w:rsidRDefault="00B42640" w:rsidP="00B42640">
      <w:pPr>
        <w:widowControl w:val="0"/>
        <w:spacing w:before="120" w:after="120" w:line="288" w:lineRule="auto"/>
        <w:jc w:val="both"/>
        <w:rPr>
          <w:sz w:val="20"/>
          <w:szCs w:val="20"/>
        </w:rPr>
      </w:pPr>
      <w:r w:rsidRPr="0053516C">
        <w:rPr>
          <w:sz w:val="20"/>
          <w:szCs w:val="20"/>
        </w:rPr>
        <w:t>Informácie k pravidlám a postupom zohľadňovania čistých príjmov pri výpočte výšky oprávnených výdavkov projektu sú podrobne upravené v</w:t>
      </w:r>
      <w:r w:rsidR="00FC6124">
        <w:rPr>
          <w:sz w:val="20"/>
          <w:szCs w:val="20"/>
        </w:rPr>
        <w:t> </w:t>
      </w:r>
      <w:r w:rsidRPr="0053516C">
        <w:rPr>
          <w:sz w:val="20"/>
          <w:szCs w:val="20"/>
        </w:rPr>
        <w:t>dokumente</w:t>
      </w:r>
      <w:r w:rsidR="00FC6124">
        <w:rPr>
          <w:sz w:val="20"/>
          <w:szCs w:val="20"/>
        </w:rPr>
        <w:t xml:space="preserve"> </w:t>
      </w:r>
      <w:r w:rsidR="00FC6124">
        <w:rPr>
          <w:i/>
          <w:sz w:val="20"/>
        </w:rPr>
        <w:t>Metodická príručka</w:t>
      </w:r>
      <w:r w:rsidR="00FC6124" w:rsidRPr="003D2960">
        <w:rPr>
          <w:i/>
          <w:sz w:val="20"/>
        </w:rPr>
        <w:t xml:space="preserve"> k tvorbe analýz výdavkov a príjmov (CBA)</w:t>
      </w:r>
      <w:r w:rsidR="00FC6124">
        <w:rPr>
          <w:i/>
          <w:sz w:val="20"/>
        </w:rPr>
        <w:t xml:space="preserve"> - </w:t>
      </w:r>
      <w:hyperlink r:id="rId11" w:history="1">
        <w:r w:rsidR="00FC6124">
          <w:rPr>
            <w:rStyle w:val="Hypertextovprepojenie"/>
          </w:rPr>
          <w:t>Metodika pre vypracovanie CBA (mindop.sk)</w:t>
        </w:r>
      </w:hyperlink>
      <w:r w:rsidRPr="0053516C">
        <w:rPr>
          <w:i/>
          <w:iCs/>
          <w:sz w:val="20"/>
          <w:szCs w:val="20"/>
        </w:rPr>
        <w:t>.</w:t>
      </w:r>
    </w:p>
    <w:p w14:paraId="646023C6" w14:textId="77777777" w:rsidR="00B42640" w:rsidRDefault="00B42640" w:rsidP="00B42640">
      <w:pPr>
        <w:pStyle w:val="Odsekzoznamu"/>
        <w:widowControl w:val="0"/>
        <w:spacing w:before="120"/>
        <w:ind w:left="0"/>
        <w:rPr>
          <w:color w:val="4F81BD"/>
        </w:rPr>
      </w:pPr>
    </w:p>
    <w:p w14:paraId="57494456" w14:textId="77777777" w:rsidR="00B42640" w:rsidRPr="00333E62" w:rsidRDefault="00B42640" w:rsidP="00B42640">
      <w:pPr>
        <w:pStyle w:val="Odsekzoznamu"/>
        <w:widowControl w:val="0"/>
        <w:spacing w:before="120"/>
        <w:ind w:left="0"/>
        <w:rPr>
          <w:color w:val="4F81BD"/>
        </w:rPr>
      </w:pPr>
      <w:r w:rsidRPr="00333E62">
        <w:rPr>
          <w:color w:val="4F81BD"/>
        </w:rPr>
        <w:t>Projekty, ktoré vytvárajú čisté príjmy po ich dokončení</w:t>
      </w:r>
    </w:p>
    <w:p w14:paraId="21F57B82" w14:textId="53CF1956" w:rsidR="00B42640" w:rsidRPr="00333E62" w:rsidRDefault="00B42640" w:rsidP="00B42640">
      <w:pPr>
        <w:widowControl w:val="0"/>
        <w:spacing w:before="120"/>
        <w:jc w:val="both"/>
        <w:rPr>
          <w:sz w:val="20"/>
          <w:szCs w:val="20"/>
        </w:rPr>
      </w:pPr>
      <w:r w:rsidRPr="00333E62">
        <w:rPr>
          <w:sz w:val="20"/>
          <w:szCs w:val="20"/>
        </w:rPr>
        <w:t xml:space="preserve">Na účely </w:t>
      </w:r>
      <w:r w:rsidR="00C123AF">
        <w:rPr>
          <w:sz w:val="20"/>
          <w:szCs w:val="20"/>
        </w:rPr>
        <w:t>tejto kapitoly</w:t>
      </w:r>
      <w:r w:rsidRPr="00333E62">
        <w:rPr>
          <w:sz w:val="20"/>
          <w:szCs w:val="20"/>
        </w:rPr>
        <w:t xml:space="preserve">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618FF7ED" w14:textId="77777777" w:rsidR="00B42640" w:rsidRPr="00A374F2" w:rsidRDefault="00B42640" w:rsidP="00B42640">
      <w:pPr>
        <w:widowControl w:val="0"/>
        <w:spacing w:before="120"/>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6B2726CC" w14:textId="77777777" w:rsidR="00B42640" w:rsidRPr="00A374F2" w:rsidRDefault="00B42640" w:rsidP="00B42640">
      <w:pPr>
        <w:widowControl w:val="0"/>
        <w:spacing w:before="120"/>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580848EF" w14:textId="77777777" w:rsidR="00B42640" w:rsidRPr="00A374F2" w:rsidRDefault="00B42640" w:rsidP="00B42640">
      <w:pPr>
        <w:widowControl w:val="0"/>
        <w:spacing w:before="120"/>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50E2D729" w14:textId="77777777" w:rsidR="00B42640" w:rsidRPr="00A374F2" w:rsidRDefault="00B42640" w:rsidP="00B42640">
      <w:pPr>
        <w:widowControl w:val="0"/>
        <w:spacing w:before="120"/>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Pr="00A374F2">
        <w:rPr>
          <w:sz w:val="20"/>
          <w:szCs w:val="20"/>
        </w:rPr>
        <w:t>ŽoP</w:t>
      </w:r>
      <w:proofErr w:type="spellEnd"/>
      <w:r w:rsidRPr="00A374F2">
        <w:rPr>
          <w:sz w:val="20"/>
          <w:szCs w:val="20"/>
        </w:rPr>
        <w:t xml:space="preserve">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9650DAC" w14:textId="77777777" w:rsidR="00B42640" w:rsidRPr="00214AB9" w:rsidRDefault="00B42640" w:rsidP="00B42640">
      <w:pPr>
        <w:widowControl w:val="0"/>
        <w:spacing w:before="120"/>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24CA47CB" w14:textId="77777777" w:rsidR="00B42640" w:rsidRPr="00E04D41" w:rsidRDefault="00B42640" w:rsidP="00B42640">
      <w:pPr>
        <w:widowControl w:val="0"/>
        <w:numPr>
          <w:ilvl w:val="0"/>
          <w:numId w:val="27"/>
        </w:numPr>
        <w:tabs>
          <w:tab w:val="num" w:pos="360"/>
        </w:tabs>
        <w:spacing w:before="120" w:after="0" w:line="240" w:lineRule="auto"/>
        <w:jc w:val="both"/>
        <w:rPr>
          <w:sz w:val="20"/>
          <w:szCs w:val="20"/>
        </w:rPr>
      </w:pPr>
      <w:r w:rsidRPr="00E04D41">
        <w:rPr>
          <w:sz w:val="20"/>
          <w:szCs w:val="20"/>
        </w:rPr>
        <w:t>30 rokov v sektore železničnej dopravy;</w:t>
      </w:r>
    </w:p>
    <w:p w14:paraId="7F30F515" w14:textId="77777777" w:rsidR="00B42640" w:rsidRPr="00F46A82" w:rsidRDefault="00B42640" w:rsidP="00B42640">
      <w:pPr>
        <w:widowControl w:val="0"/>
        <w:numPr>
          <w:ilvl w:val="0"/>
          <w:numId w:val="27"/>
        </w:numPr>
        <w:tabs>
          <w:tab w:val="num" w:pos="360"/>
        </w:tabs>
        <w:spacing w:before="120" w:after="0" w:line="240" w:lineRule="auto"/>
        <w:jc w:val="both"/>
        <w:rPr>
          <w:sz w:val="20"/>
          <w:szCs w:val="20"/>
        </w:rPr>
      </w:pPr>
      <w:r w:rsidRPr="00F46A82">
        <w:rPr>
          <w:sz w:val="20"/>
          <w:szCs w:val="20"/>
        </w:rPr>
        <w:t>25 až 30 rokov v sektore cestnej dopravy.</w:t>
      </w:r>
    </w:p>
    <w:p w14:paraId="14372BA1" w14:textId="77777777" w:rsidR="00B42640" w:rsidRPr="00A374F2" w:rsidRDefault="00B42640" w:rsidP="00B42640">
      <w:pPr>
        <w:widowControl w:val="0"/>
        <w:spacing w:before="120"/>
        <w:jc w:val="both"/>
        <w:rPr>
          <w:sz w:val="20"/>
          <w:szCs w:val="20"/>
        </w:rPr>
      </w:pPr>
      <w:r w:rsidRPr="00A374F2">
        <w:rPr>
          <w:sz w:val="20"/>
          <w:szCs w:val="20"/>
        </w:rPr>
        <w:t xml:space="preserve">Finančná analýza projektu je vykonávaná prírastkovou metódou, </w:t>
      </w:r>
      <w:proofErr w:type="spellStart"/>
      <w:r w:rsidRPr="00A374F2">
        <w:rPr>
          <w:sz w:val="20"/>
          <w:szCs w:val="20"/>
        </w:rPr>
        <w:t>t.j</w:t>
      </w:r>
      <w:proofErr w:type="spellEnd"/>
      <w:r w:rsidRPr="00A374F2">
        <w:rPr>
          <w:sz w:val="20"/>
          <w:szCs w:val="20"/>
        </w:rPr>
        <w:t xml:space="preserve">. projekt sa hodnotí na základe rozdielov v hotovostných tokoch medzi scenárom s realizáciou projektu a alternatívnym scenárom bez realizácie projektu. </w:t>
      </w:r>
    </w:p>
    <w:p w14:paraId="239182DA" w14:textId="77777777" w:rsidR="00B42640" w:rsidRPr="00A374F2" w:rsidRDefault="00B42640" w:rsidP="00B42640">
      <w:pPr>
        <w:widowControl w:val="0"/>
        <w:spacing w:before="120"/>
        <w:jc w:val="both"/>
        <w:rPr>
          <w:sz w:val="20"/>
          <w:szCs w:val="20"/>
        </w:rPr>
      </w:pPr>
      <w:r w:rsidRPr="00A374F2">
        <w:rPr>
          <w:sz w:val="20"/>
          <w:szCs w:val="20"/>
        </w:rPr>
        <w:lastRenderedPageBreak/>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2055A3FD" w14:textId="77777777" w:rsidR="00B42640" w:rsidRPr="00A374F2" w:rsidRDefault="00B42640" w:rsidP="00B42640">
      <w:pPr>
        <w:widowControl w:val="0"/>
        <w:spacing w:before="120"/>
        <w:jc w:val="both"/>
        <w:rPr>
          <w:sz w:val="20"/>
          <w:szCs w:val="20"/>
        </w:rPr>
      </w:pPr>
      <w:r w:rsidRPr="00A374F2">
        <w:rPr>
          <w:sz w:val="20"/>
          <w:szCs w:val="20"/>
        </w:rPr>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Pr>
          <w:sz w:val="20"/>
          <w:szCs w:val="20"/>
        </w:rPr>
        <w:t xml:space="preserve">4%  pre finančnú analýzu a </w:t>
      </w:r>
      <w:r w:rsidRPr="00DF275F">
        <w:rPr>
          <w:sz w:val="20"/>
          <w:szCs w:val="20"/>
        </w:rPr>
        <w:t>5 % pre ekonomickú analýzu</w:t>
      </w:r>
      <w:r w:rsidRPr="00F46A82">
        <w:rPr>
          <w:sz w:val="20"/>
          <w:szCs w:val="20"/>
        </w:rPr>
        <w:t>.</w:t>
      </w:r>
      <w:r w:rsidRPr="00A374F2">
        <w:rPr>
          <w:sz w:val="20"/>
          <w:szCs w:val="20"/>
        </w:rPr>
        <w:t xml:space="preserve"> </w:t>
      </w:r>
    </w:p>
    <w:p w14:paraId="1080DCA2" w14:textId="6890737A" w:rsidR="00B42640" w:rsidRPr="00A374F2" w:rsidRDefault="00B42640" w:rsidP="00B42640">
      <w:pPr>
        <w:widowControl w:val="0"/>
        <w:spacing w:before="120"/>
        <w:jc w:val="both"/>
        <w:rPr>
          <w:sz w:val="20"/>
          <w:szCs w:val="20"/>
        </w:rPr>
      </w:pPr>
      <w:r w:rsidRPr="00A374F2">
        <w:rPr>
          <w:bCs/>
          <w:sz w:val="20"/>
          <w:szCs w:val="20"/>
        </w:rPr>
        <w:t>Podrobnejšia analýza určenia výšky oprávnených výdavkov pri projektoch generujúcich pr</w:t>
      </w:r>
      <w:r w:rsidR="00EF4209">
        <w:rPr>
          <w:bCs/>
          <w:sz w:val="20"/>
          <w:szCs w:val="20"/>
        </w:rPr>
        <w:t>íjmy pre programové obdobie 2021 – 2027</w:t>
      </w:r>
      <w:r w:rsidRPr="00A374F2">
        <w:rPr>
          <w:bCs/>
          <w:sz w:val="20"/>
          <w:szCs w:val="20"/>
        </w:rPr>
        <w:t xml:space="preserve"> je uvedená </w:t>
      </w:r>
      <w:r w:rsidR="00D43561">
        <w:rPr>
          <w:bCs/>
          <w:sz w:val="20"/>
          <w:szCs w:val="20"/>
        </w:rPr>
        <w:t xml:space="preserve">v </w:t>
      </w:r>
      <w:r w:rsidR="00D43561" w:rsidRPr="00D43561">
        <w:rPr>
          <w:bCs/>
          <w:sz w:val="20"/>
          <w:szCs w:val="20"/>
        </w:rPr>
        <w:t>Metodickej príručke k tvorbe analýz výdavkov a príjmov (CBA) -</w:t>
      </w:r>
      <w:r w:rsidR="00D43561">
        <w:rPr>
          <w:i/>
          <w:sz w:val="20"/>
        </w:rPr>
        <w:t xml:space="preserve"> </w:t>
      </w:r>
      <w:hyperlink r:id="rId12" w:history="1">
        <w:r w:rsidR="00D43561">
          <w:rPr>
            <w:rStyle w:val="Hypertextovprepojenie"/>
          </w:rPr>
          <w:t>Metodika pre vypracovanie CBA (mindop.sk)</w:t>
        </w:r>
      </w:hyperlink>
      <w:r w:rsidRPr="000D5076">
        <w:rPr>
          <w:b/>
          <w:sz w:val="20"/>
          <w:szCs w:val="20"/>
        </w:rPr>
        <w:t>.</w:t>
      </w:r>
    </w:p>
    <w:p w14:paraId="3A9CDD69" w14:textId="77777777" w:rsidR="00B42640" w:rsidRPr="00A374F2" w:rsidRDefault="00B42640" w:rsidP="00B42640">
      <w:pPr>
        <w:widowControl w:val="0"/>
        <w:spacing w:before="120"/>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2EE6E594" w14:textId="77777777" w:rsidR="00B42640" w:rsidRPr="00A374F2" w:rsidRDefault="00B42640" w:rsidP="00B42640">
      <w:pPr>
        <w:widowControl w:val="0"/>
        <w:spacing w:before="120"/>
        <w:jc w:val="both"/>
        <w:rPr>
          <w:sz w:val="20"/>
          <w:szCs w:val="20"/>
        </w:rPr>
      </w:pPr>
      <w:r w:rsidRPr="00A374F2">
        <w:rPr>
          <w:sz w:val="20"/>
          <w:szCs w:val="20"/>
        </w:rPr>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6B022FD6" w14:textId="4B225E11" w:rsidR="00B42640" w:rsidRPr="00A374F2" w:rsidRDefault="00B42640" w:rsidP="00B42640">
      <w:pPr>
        <w:widowControl w:val="0"/>
        <w:spacing w:before="120"/>
        <w:jc w:val="both"/>
        <w:rPr>
          <w:sz w:val="20"/>
          <w:szCs w:val="20"/>
        </w:rPr>
      </w:pPr>
      <w:r w:rsidRPr="00A374F2">
        <w:rPr>
          <w:sz w:val="20"/>
          <w:szCs w:val="20"/>
        </w:rPr>
        <w:t>Vyššie uvedené ustanovenia sa nevzťahujú na projekty, v príp</w:t>
      </w:r>
      <w:r w:rsidR="00625476">
        <w:rPr>
          <w:sz w:val="20"/>
          <w:szCs w:val="20"/>
        </w:rPr>
        <w:t>ade ktorých podpora v rámci PSK</w:t>
      </w:r>
      <w:r w:rsidRPr="00A374F2">
        <w:rPr>
          <w:sz w:val="20"/>
          <w:szCs w:val="20"/>
        </w:rPr>
        <w:t xml:space="preserve"> predstavuje:</w:t>
      </w:r>
    </w:p>
    <w:p w14:paraId="4DF2131C" w14:textId="77777777" w:rsidR="00B42640" w:rsidRPr="00D96C63" w:rsidRDefault="00B42640" w:rsidP="00B42640">
      <w:pPr>
        <w:widowControl w:val="0"/>
        <w:numPr>
          <w:ilvl w:val="0"/>
          <w:numId w:val="28"/>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5AD40870" w14:textId="77777777" w:rsidR="00B42640" w:rsidRPr="00D96C63" w:rsidRDefault="00B42640" w:rsidP="00B42640">
      <w:pPr>
        <w:widowControl w:val="0"/>
        <w:numPr>
          <w:ilvl w:val="0"/>
          <w:numId w:val="28"/>
        </w:numPr>
        <w:spacing w:before="120" w:after="0" w:line="240" w:lineRule="auto"/>
        <w:jc w:val="both"/>
        <w:rPr>
          <w:sz w:val="20"/>
          <w:szCs w:val="20"/>
        </w:rPr>
      </w:pPr>
      <w:r w:rsidRPr="00D96C63">
        <w:rPr>
          <w:color w:val="000000"/>
          <w:sz w:val="20"/>
          <w:szCs w:val="20"/>
        </w:rPr>
        <w:t>návratnú pomoc, ktorá podlieha povinnosti úplného splatenia, a ceny;</w:t>
      </w:r>
    </w:p>
    <w:p w14:paraId="1354A6C7" w14:textId="77777777" w:rsidR="00B42640" w:rsidRPr="00D96C63" w:rsidRDefault="00B42640" w:rsidP="00B42640">
      <w:pPr>
        <w:widowControl w:val="0"/>
        <w:numPr>
          <w:ilvl w:val="0"/>
          <w:numId w:val="28"/>
        </w:numPr>
        <w:spacing w:before="120" w:after="0" w:line="240" w:lineRule="auto"/>
        <w:jc w:val="both"/>
        <w:rPr>
          <w:sz w:val="20"/>
          <w:szCs w:val="20"/>
        </w:rPr>
      </w:pPr>
      <w:r w:rsidRPr="00D96C63">
        <w:rPr>
          <w:color w:val="000000"/>
          <w:sz w:val="20"/>
          <w:szCs w:val="20"/>
        </w:rPr>
        <w:t>technickú pomoc;</w:t>
      </w:r>
    </w:p>
    <w:p w14:paraId="318EDDF6" w14:textId="77777777" w:rsidR="00B42640" w:rsidRPr="00D96C63" w:rsidRDefault="00B42640" w:rsidP="00B42640">
      <w:pPr>
        <w:widowControl w:val="0"/>
        <w:numPr>
          <w:ilvl w:val="0"/>
          <w:numId w:val="28"/>
        </w:numPr>
        <w:spacing w:before="120" w:after="0" w:line="240" w:lineRule="auto"/>
        <w:jc w:val="both"/>
        <w:rPr>
          <w:sz w:val="20"/>
          <w:szCs w:val="20"/>
        </w:rPr>
      </w:pPr>
      <w:r w:rsidRPr="00D96C63">
        <w:rPr>
          <w:color w:val="000000"/>
          <w:sz w:val="20"/>
          <w:szCs w:val="20"/>
        </w:rPr>
        <w:t>podporu na finančné nástroje alebo z finančných nástrojov;</w:t>
      </w:r>
    </w:p>
    <w:p w14:paraId="50E5ECA6" w14:textId="77777777" w:rsidR="00B42640" w:rsidRPr="00AF0359" w:rsidRDefault="00B42640" w:rsidP="00B42640">
      <w:pPr>
        <w:widowControl w:val="0"/>
        <w:numPr>
          <w:ilvl w:val="0"/>
          <w:numId w:val="28"/>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1FB484AF" w14:textId="77777777" w:rsidR="00B42640" w:rsidRPr="00AF0359" w:rsidRDefault="00B42640" w:rsidP="00B42640">
      <w:pPr>
        <w:widowControl w:val="0"/>
        <w:numPr>
          <w:ilvl w:val="0"/>
          <w:numId w:val="28"/>
        </w:numPr>
        <w:spacing w:before="120" w:after="0" w:line="240" w:lineRule="auto"/>
        <w:jc w:val="both"/>
        <w:rPr>
          <w:sz w:val="20"/>
          <w:szCs w:val="20"/>
        </w:rPr>
      </w:pPr>
      <w:r w:rsidRPr="00AF0359">
        <w:rPr>
          <w:sz w:val="20"/>
          <w:szCs w:val="20"/>
        </w:rPr>
        <w:t xml:space="preserve">pomoc de </w:t>
      </w:r>
      <w:proofErr w:type="spellStart"/>
      <w:r w:rsidRPr="00AF0359">
        <w:rPr>
          <w:sz w:val="20"/>
          <w:szCs w:val="20"/>
        </w:rPr>
        <w:t>minimis</w:t>
      </w:r>
      <w:proofErr w:type="spellEnd"/>
      <w:r w:rsidRPr="00AF0359">
        <w:rPr>
          <w:sz w:val="20"/>
          <w:szCs w:val="20"/>
        </w:rPr>
        <w:t>;</w:t>
      </w:r>
    </w:p>
    <w:p w14:paraId="6B52E206" w14:textId="77777777" w:rsidR="00B42640" w:rsidRPr="00A374F2" w:rsidRDefault="00B42640" w:rsidP="00B42640">
      <w:pPr>
        <w:widowControl w:val="0"/>
        <w:numPr>
          <w:ilvl w:val="0"/>
          <w:numId w:val="28"/>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65B5DFB6" w14:textId="77777777" w:rsidR="00B42640" w:rsidRPr="00A374F2" w:rsidRDefault="00B42640" w:rsidP="00B42640">
      <w:pPr>
        <w:widowControl w:val="0"/>
        <w:numPr>
          <w:ilvl w:val="0"/>
          <w:numId w:val="28"/>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0D5439BD" w14:textId="77777777" w:rsidR="00B42640" w:rsidRPr="00A374F2" w:rsidRDefault="00B42640" w:rsidP="00B42640">
      <w:pPr>
        <w:widowControl w:val="0"/>
        <w:spacing w:before="120"/>
        <w:jc w:val="both"/>
        <w:rPr>
          <w:sz w:val="20"/>
          <w:szCs w:val="20"/>
        </w:rPr>
      </w:pPr>
      <w:r w:rsidRPr="00A374F2">
        <w:rPr>
          <w:sz w:val="20"/>
          <w:szCs w:val="20"/>
        </w:rPr>
        <w:t>Bez ohľadu na vyššie uvedené RO môže uplatňovať ustanovenia týkajúce sa projektov generujúcich príjem aj na projekty, ktoré spadajú pod písmená a) a b), ak je tak ustanovené vo vnútroštátnych predpisoch.</w:t>
      </w:r>
    </w:p>
    <w:p w14:paraId="3C1B9F00" w14:textId="298544DB" w:rsidR="00B42640" w:rsidRPr="006C23FE" w:rsidRDefault="00B42640" w:rsidP="00B42640">
      <w:pPr>
        <w:pStyle w:val="Odsekzoznamu"/>
        <w:widowControl w:val="0"/>
        <w:spacing w:before="120"/>
        <w:ind w:left="0"/>
        <w:rPr>
          <w:color w:val="4F81BD"/>
        </w:rPr>
      </w:pPr>
      <w:r w:rsidRPr="006C23FE">
        <w:rPr>
          <w:color w:val="4F81BD"/>
        </w:rPr>
        <w:t xml:space="preserve">Projekty, ktoré vytvárajú čisté príjmy v priebehu ich implementácie </w:t>
      </w:r>
    </w:p>
    <w:p w14:paraId="0AAF901B" w14:textId="77777777" w:rsidR="00B42640" w:rsidRPr="00A374F2" w:rsidRDefault="00B42640" w:rsidP="00B42640">
      <w:pPr>
        <w:widowControl w:val="0"/>
        <w:spacing w:before="120"/>
        <w:jc w:val="both"/>
        <w:rPr>
          <w:sz w:val="20"/>
          <w:szCs w:val="20"/>
        </w:rPr>
      </w:pPr>
      <w:r w:rsidRPr="00A374F2">
        <w:rPr>
          <w:sz w:val="20"/>
          <w:szCs w:val="20"/>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A374F2">
        <w:rPr>
          <w:sz w:val="20"/>
          <w:szCs w:val="20"/>
        </w:rPr>
        <w:t>ŽoP</w:t>
      </w:r>
      <w:proofErr w:type="spellEnd"/>
      <w:r w:rsidRPr="00A374F2">
        <w:rPr>
          <w:sz w:val="20"/>
          <w:szCs w:val="20"/>
        </w:rPr>
        <w:t xml:space="preserve"> predloženej prijímateľom. Ak nie sú všetky výdavky oprávnené na spolufinancovanie, musia byť čisté príjmy rozpočítané na pomernom základe na oprávnené a neoprávnené časti výdavkov.</w:t>
      </w:r>
    </w:p>
    <w:p w14:paraId="0C380BC4" w14:textId="77777777" w:rsidR="00B42640" w:rsidRPr="00A374F2" w:rsidRDefault="00B42640" w:rsidP="00B42640">
      <w:pPr>
        <w:widowControl w:val="0"/>
        <w:spacing w:before="120"/>
        <w:jc w:val="both"/>
        <w:rPr>
          <w:sz w:val="20"/>
          <w:szCs w:val="20"/>
        </w:rPr>
      </w:pPr>
      <w:r w:rsidRPr="00A374F2">
        <w:rPr>
          <w:sz w:val="20"/>
          <w:szCs w:val="20"/>
        </w:rPr>
        <w:t>Uvedené pravidlo sa nevzťahuje na:</w:t>
      </w:r>
    </w:p>
    <w:p w14:paraId="5D281B45" w14:textId="77777777" w:rsidR="00B42640" w:rsidRPr="00D96C63" w:rsidRDefault="00B42640" w:rsidP="00B42640">
      <w:pPr>
        <w:widowControl w:val="0"/>
        <w:numPr>
          <w:ilvl w:val="0"/>
          <w:numId w:val="29"/>
        </w:numPr>
        <w:spacing w:before="120" w:after="0" w:line="240" w:lineRule="auto"/>
        <w:jc w:val="both"/>
        <w:rPr>
          <w:color w:val="000000"/>
          <w:sz w:val="20"/>
          <w:szCs w:val="20"/>
        </w:rPr>
      </w:pPr>
      <w:r w:rsidRPr="00D96C63">
        <w:rPr>
          <w:color w:val="000000"/>
          <w:sz w:val="20"/>
          <w:szCs w:val="20"/>
        </w:rPr>
        <w:t xml:space="preserve">technickú pomoc, </w:t>
      </w:r>
    </w:p>
    <w:p w14:paraId="66AB0154" w14:textId="77777777" w:rsidR="00B42640" w:rsidRPr="00D96C63" w:rsidRDefault="00B42640" w:rsidP="00B42640">
      <w:pPr>
        <w:widowControl w:val="0"/>
        <w:numPr>
          <w:ilvl w:val="0"/>
          <w:numId w:val="29"/>
        </w:numPr>
        <w:spacing w:before="120" w:after="0" w:line="240" w:lineRule="auto"/>
        <w:jc w:val="both"/>
        <w:rPr>
          <w:color w:val="000000"/>
          <w:sz w:val="20"/>
          <w:szCs w:val="20"/>
        </w:rPr>
      </w:pPr>
      <w:r w:rsidRPr="00D96C63">
        <w:rPr>
          <w:color w:val="000000"/>
          <w:sz w:val="20"/>
          <w:szCs w:val="20"/>
        </w:rPr>
        <w:t>finančné nástroje,</w:t>
      </w:r>
    </w:p>
    <w:p w14:paraId="495ED67F" w14:textId="77777777" w:rsidR="00B42640" w:rsidRPr="00D96C63" w:rsidRDefault="00B42640" w:rsidP="00B42640">
      <w:pPr>
        <w:widowControl w:val="0"/>
        <w:numPr>
          <w:ilvl w:val="0"/>
          <w:numId w:val="29"/>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56579DF4" w14:textId="77777777" w:rsidR="00B42640" w:rsidRPr="00D96C63" w:rsidRDefault="00B42640" w:rsidP="00B42640">
      <w:pPr>
        <w:widowControl w:val="0"/>
        <w:numPr>
          <w:ilvl w:val="0"/>
          <w:numId w:val="29"/>
        </w:numPr>
        <w:spacing w:before="120" w:after="0" w:line="240" w:lineRule="auto"/>
        <w:jc w:val="both"/>
        <w:rPr>
          <w:color w:val="000000"/>
          <w:sz w:val="20"/>
          <w:szCs w:val="20"/>
        </w:rPr>
      </w:pPr>
      <w:r w:rsidRPr="00D96C63">
        <w:rPr>
          <w:color w:val="000000"/>
          <w:sz w:val="20"/>
          <w:szCs w:val="20"/>
        </w:rPr>
        <w:t>ceny,</w:t>
      </w:r>
    </w:p>
    <w:p w14:paraId="7A536EFB" w14:textId="77777777" w:rsidR="00B42640" w:rsidRPr="00D96C63" w:rsidRDefault="00B42640" w:rsidP="00B42640">
      <w:pPr>
        <w:widowControl w:val="0"/>
        <w:numPr>
          <w:ilvl w:val="0"/>
          <w:numId w:val="29"/>
        </w:numPr>
        <w:spacing w:before="120" w:after="0" w:line="240" w:lineRule="auto"/>
        <w:jc w:val="both"/>
        <w:rPr>
          <w:sz w:val="20"/>
          <w:szCs w:val="20"/>
        </w:rPr>
      </w:pPr>
      <w:r w:rsidRPr="00D96C63">
        <w:rPr>
          <w:sz w:val="20"/>
          <w:szCs w:val="20"/>
        </w:rPr>
        <w:t>projekty podliehajúce pravidlám štátnej pomoci,</w:t>
      </w:r>
    </w:p>
    <w:p w14:paraId="6DD58F1D" w14:textId="77777777" w:rsidR="00B42640" w:rsidRPr="00D96C63" w:rsidRDefault="00B42640" w:rsidP="00B42640">
      <w:pPr>
        <w:widowControl w:val="0"/>
        <w:numPr>
          <w:ilvl w:val="0"/>
          <w:numId w:val="29"/>
        </w:numPr>
        <w:spacing w:before="120" w:after="0" w:line="240" w:lineRule="auto"/>
        <w:jc w:val="both"/>
        <w:rPr>
          <w:sz w:val="20"/>
          <w:szCs w:val="20"/>
        </w:rPr>
      </w:pPr>
      <w:r w:rsidRPr="00D96C63">
        <w:rPr>
          <w:sz w:val="20"/>
          <w:szCs w:val="20"/>
        </w:rPr>
        <w:t>projekty, ktorých celkové oprávnené výdavky neprekročia 50 000 EUR.</w:t>
      </w:r>
    </w:p>
    <w:p w14:paraId="6A22DA4C" w14:textId="7E37C38B" w:rsidR="00B42640" w:rsidRDefault="00B42640" w:rsidP="00A956FF">
      <w:pPr>
        <w:widowControl w:val="0"/>
        <w:spacing w:before="120"/>
        <w:jc w:val="both"/>
        <w:rPr>
          <w:sz w:val="20"/>
          <w:szCs w:val="20"/>
        </w:rPr>
      </w:pPr>
      <w:r w:rsidRPr="00A374F2">
        <w:rPr>
          <w:sz w:val="20"/>
          <w:szCs w:val="20"/>
        </w:rPr>
        <w:t xml:space="preserve">Platby, ktoré prijímateľ prijal a ktoré vyplývajú zo zmluvných sankcií v dôsledku porušenia zmluvy medzi prijímateľom a </w:t>
      </w:r>
      <w:r w:rsidRPr="00A374F2">
        <w:rPr>
          <w:sz w:val="20"/>
          <w:szCs w:val="20"/>
        </w:rPr>
        <w:lastRenderedPageBreak/>
        <w:t>treťou stranou/tretími stranami alebo ktoré vznikli v dôsledku stiahnutia ponuky tretej strany vybranej podľa pravidiel VO (zábezpeka), sa nepovažujú za príjem a neodpočítavajú sa od oprávnených výdavkov projektu.</w:t>
      </w:r>
    </w:p>
    <w:p w14:paraId="584ECDD0" w14:textId="4A29A660" w:rsidR="007717D3" w:rsidRPr="008036D9" w:rsidRDefault="007717D3" w:rsidP="007717D3">
      <w:pPr>
        <w:pStyle w:val="AODefHead"/>
        <w:numPr>
          <w:ilvl w:val="0"/>
          <w:numId w:val="0"/>
        </w:numPr>
        <w:spacing w:before="120" w:line="264" w:lineRule="auto"/>
        <w:rPr>
          <w:rFonts w:asciiTheme="minorHAnsi" w:eastAsiaTheme="minorHAnsi" w:hAnsiTheme="minorHAnsi" w:cstheme="minorHAnsi"/>
          <w:sz w:val="20"/>
          <w:szCs w:val="20"/>
        </w:rPr>
      </w:pPr>
      <w:r w:rsidRPr="008036D9">
        <w:rPr>
          <w:rFonts w:asciiTheme="minorHAnsi" w:eastAsiaTheme="minorHAnsi" w:hAnsiTheme="minorHAnsi" w:cstheme="minorHAnsi"/>
          <w:sz w:val="20"/>
          <w:szCs w:val="20"/>
        </w:rPr>
        <w:t>Projekty</w:t>
      </w:r>
      <w:r>
        <w:rPr>
          <w:rFonts w:asciiTheme="minorHAnsi" w:eastAsiaTheme="minorHAnsi" w:hAnsiTheme="minorHAnsi" w:cstheme="minorHAnsi"/>
          <w:sz w:val="20"/>
          <w:szCs w:val="20"/>
        </w:rPr>
        <w:t xml:space="preserve"> generujúce príjmy vytvárajúce č</w:t>
      </w:r>
      <w:r w:rsidRPr="008036D9">
        <w:rPr>
          <w:rFonts w:asciiTheme="minorHAnsi" w:eastAsiaTheme="minorHAnsi" w:hAnsiTheme="minorHAnsi" w:cstheme="minorHAnsi"/>
          <w:sz w:val="20"/>
          <w:szCs w:val="20"/>
        </w:rPr>
        <w:t>isté pr</w:t>
      </w:r>
      <w:r>
        <w:rPr>
          <w:rFonts w:asciiTheme="minorHAnsi" w:eastAsiaTheme="minorHAnsi" w:hAnsiTheme="minorHAnsi" w:cstheme="minorHAnsi"/>
          <w:sz w:val="20"/>
          <w:szCs w:val="20"/>
        </w:rPr>
        <w:t xml:space="preserve">íjmy </w:t>
      </w:r>
      <w:r w:rsidRPr="00625476">
        <w:rPr>
          <w:rFonts w:asciiTheme="minorHAnsi" w:eastAsiaTheme="minorHAnsi" w:hAnsiTheme="minorHAnsi" w:cstheme="minorHAnsi"/>
          <w:sz w:val="20"/>
          <w:szCs w:val="20"/>
          <w:u w:val="single"/>
        </w:rPr>
        <w:t>počas Realizácie Projektu</w:t>
      </w:r>
      <w:r>
        <w:rPr>
          <w:rFonts w:asciiTheme="minorHAnsi" w:eastAsiaTheme="minorHAnsi" w:hAnsiTheme="minorHAnsi" w:cstheme="minorHAnsi"/>
          <w:sz w:val="20"/>
          <w:szCs w:val="20"/>
        </w:rPr>
        <w:t xml:space="preserve"> - č</w:t>
      </w:r>
      <w:r w:rsidRPr="008036D9">
        <w:rPr>
          <w:rFonts w:asciiTheme="minorHAnsi" w:eastAsiaTheme="minorHAnsi" w:hAnsiTheme="minorHAnsi" w:cstheme="minorHAnsi"/>
          <w:sz w:val="20"/>
          <w:szCs w:val="20"/>
        </w:rPr>
        <w:t>isté príjmy vytvorené v období Realizácie projektu je potrebné odpočítať od oprávnených výdavkov projektu pri ukončení realizácie projektu. Prijímateľ má povinnosť monitorovať čisté príjmy po dobu realizácie projektu a deklarovať ich v</w:t>
      </w:r>
      <w:r w:rsidR="00E0417C">
        <w:rPr>
          <w:rFonts w:asciiTheme="minorHAnsi" w:eastAsiaTheme="minorHAnsi" w:hAnsiTheme="minorHAnsi" w:cstheme="minorHAnsi"/>
          <w:sz w:val="20"/>
          <w:szCs w:val="20"/>
        </w:rPr>
        <w:t> </w:t>
      </w:r>
      <w:r w:rsidR="00E0417C" w:rsidRPr="00E0417C">
        <w:rPr>
          <w:rFonts w:asciiTheme="minorHAnsi" w:eastAsiaTheme="minorHAnsi" w:hAnsiTheme="minorHAnsi" w:cstheme="minorHAnsi"/>
          <w:sz w:val="20"/>
          <w:szCs w:val="20"/>
        </w:rPr>
        <w:t>zm</w:t>
      </w:r>
      <w:r w:rsidR="00E0417C" w:rsidRPr="00E0417C">
        <w:rPr>
          <w:rFonts w:asciiTheme="minorHAnsi" w:eastAsiaTheme="minorHAnsi" w:hAnsiTheme="minorHAnsi" w:cstheme="minorHAnsi"/>
          <w:sz w:val="20"/>
          <w:szCs w:val="20"/>
        </w:rPr>
        <w:t xml:space="preserve">ene </w:t>
      </w:r>
      <w:r w:rsidR="00E0417C" w:rsidRPr="00E0417C">
        <w:rPr>
          <w:rFonts w:asciiTheme="minorHAnsi" w:eastAsiaTheme="minorHAnsi" w:hAnsiTheme="minorHAnsi" w:cstheme="minorHAnsi"/>
          <w:sz w:val="20"/>
          <w:szCs w:val="20"/>
        </w:rPr>
        <w:t>projektu typu Monitorovanie</w:t>
      </w:r>
      <w:r w:rsidR="00E0417C">
        <w:rPr>
          <w:rFonts w:asciiTheme="minorHAnsi" w:eastAsiaTheme="minorHAnsi" w:hAnsiTheme="minorHAnsi" w:cstheme="minorHAnsi"/>
          <w:sz w:val="20"/>
          <w:szCs w:val="20"/>
        </w:rPr>
        <w:t xml:space="preserve"> pri ukončení realizácie projektu</w:t>
      </w:r>
      <w:r w:rsidRPr="008036D9">
        <w:rPr>
          <w:rFonts w:asciiTheme="minorHAnsi" w:eastAsiaTheme="minorHAnsi" w:hAnsiTheme="minorHAnsi" w:cstheme="minorHAnsi"/>
          <w:sz w:val="20"/>
          <w:szCs w:val="20"/>
        </w:rPr>
        <w:t>, rovnako ako aj finančne vysporiadať, a to najneskôr pred schválením záverečnej Žiadosti o platbu.</w:t>
      </w:r>
    </w:p>
    <w:p w14:paraId="3C55A089" w14:textId="77777777" w:rsidR="007717D3" w:rsidRDefault="007717D3" w:rsidP="00A956FF">
      <w:pPr>
        <w:widowControl w:val="0"/>
        <w:spacing w:before="120"/>
        <w:jc w:val="both"/>
        <w:rPr>
          <w:bCs/>
        </w:rPr>
      </w:pPr>
    </w:p>
    <w:p w14:paraId="561D8D7E" w14:textId="3ED26A5D" w:rsidR="00B42640" w:rsidRPr="001E5436" w:rsidRDefault="00B42640" w:rsidP="00F225A9">
      <w:pPr>
        <w:pStyle w:val="Nadpis2"/>
        <w:keepLines/>
        <w:numPr>
          <w:ilvl w:val="0"/>
          <w:numId w:val="0"/>
        </w:numPr>
        <w:ind w:left="1064" w:hanging="780"/>
        <w:jc w:val="center"/>
        <w:rPr>
          <w:b w:val="0"/>
        </w:rPr>
      </w:pPr>
      <w:bookmarkStart w:id="9" w:name="_Toc155862241"/>
      <w:r w:rsidRPr="001E5436">
        <w:lastRenderedPageBreak/>
        <w:t xml:space="preserve">Postup predkladania </w:t>
      </w:r>
      <w:proofErr w:type="spellStart"/>
      <w:r w:rsidRPr="001E5436">
        <w:t>ŽoP</w:t>
      </w:r>
      <w:bookmarkEnd w:id="9"/>
      <w:proofErr w:type="spellEnd"/>
      <w:r w:rsidR="007A4094">
        <w:t xml:space="preserve"> s výdavkami na rámec finančnej medzery</w:t>
      </w:r>
    </w:p>
    <w:p w14:paraId="46CA0C97" w14:textId="77777777" w:rsidR="00B42640" w:rsidRPr="001E5436" w:rsidRDefault="00B42640" w:rsidP="00F225A9">
      <w:pPr>
        <w:pStyle w:val="Nadpis4"/>
        <w:keepNext/>
        <w:keepLines/>
        <w:numPr>
          <w:ilvl w:val="0"/>
          <w:numId w:val="0"/>
        </w:numPr>
        <w:shd w:val="clear" w:color="auto" w:fill="FFFFFF"/>
        <w:rPr>
          <w:rStyle w:val="Nadpis3Char"/>
          <w:bCs/>
        </w:rPr>
      </w:pPr>
      <w:r w:rsidRPr="001E5436">
        <w:rPr>
          <w:rStyle w:val="Nadpis3Char"/>
        </w:rPr>
        <w:t xml:space="preserve">Všeobecný postup predkladania </w:t>
      </w:r>
      <w:proofErr w:type="spellStart"/>
      <w:r w:rsidRPr="001E5436">
        <w:rPr>
          <w:rStyle w:val="Nadpis3Char"/>
        </w:rPr>
        <w:t>ŽoP</w:t>
      </w:r>
      <w:proofErr w:type="spellEnd"/>
      <w:r w:rsidRPr="001E5436">
        <w:rPr>
          <w:rStyle w:val="Nadpis3Char"/>
        </w:rPr>
        <w:t xml:space="preserve"> s výdavkami nad rámec finančnej medzery</w:t>
      </w:r>
    </w:p>
    <w:p w14:paraId="5051D352" w14:textId="46DB9797" w:rsidR="00B42640" w:rsidRDefault="00B42640" w:rsidP="00B42640">
      <w:pPr>
        <w:keepNext/>
        <w:keepLines/>
        <w:tabs>
          <w:tab w:val="left" w:pos="3450"/>
        </w:tabs>
        <w:spacing w:after="240" w:line="276" w:lineRule="auto"/>
        <w:jc w:val="both"/>
        <w:rPr>
          <w:rFonts w:cstheme="minorHAnsi"/>
          <w:sz w:val="20"/>
        </w:rPr>
      </w:pPr>
      <w:r w:rsidRPr="001E5436">
        <w:rPr>
          <w:rFonts w:cstheme="minorHAnsi"/>
          <w:sz w:val="20"/>
        </w:rPr>
        <w:t xml:space="preserve">V prípade, ak vznikne prijímateľovi povinnosť zabezpečiť financovanie </w:t>
      </w:r>
      <w:r w:rsidRPr="00CB36B9">
        <w:rPr>
          <w:rFonts w:cstheme="minorHAnsi"/>
          <w:sz w:val="20"/>
        </w:rPr>
        <w:t>výdavkov</w:t>
      </w:r>
      <w:r w:rsidRPr="008C47F3">
        <w:rPr>
          <w:rFonts w:cstheme="minorHAnsi"/>
          <w:sz w:val="20"/>
        </w:rPr>
        <w:t xml:space="preserve"> </w:t>
      </w:r>
      <w:r w:rsidRPr="001E5436">
        <w:rPr>
          <w:rFonts w:cstheme="minorHAnsi"/>
          <w:sz w:val="20"/>
        </w:rPr>
        <w:t>neoprávnených nad rám</w:t>
      </w:r>
      <w:r w:rsidR="007A4094">
        <w:rPr>
          <w:rFonts w:cstheme="minorHAnsi"/>
          <w:sz w:val="20"/>
        </w:rPr>
        <w:t>ec finančnej medzery projektu, S</w:t>
      </w:r>
      <w:r w:rsidRPr="001E5436">
        <w:rPr>
          <w:rFonts w:cstheme="minorHAnsi"/>
          <w:sz w:val="20"/>
        </w:rPr>
        <w:t xml:space="preserve">O pristúpi k posudzovaniu </w:t>
      </w:r>
      <w:proofErr w:type="spellStart"/>
      <w:r w:rsidRPr="001E5436">
        <w:rPr>
          <w:rFonts w:cstheme="minorHAnsi"/>
          <w:sz w:val="20"/>
        </w:rPr>
        <w:t>ŽoP</w:t>
      </w:r>
      <w:proofErr w:type="spellEnd"/>
      <w:r w:rsidRPr="001E5436">
        <w:rPr>
          <w:rFonts w:cstheme="minorHAnsi"/>
          <w:sz w:val="20"/>
        </w:rPr>
        <w:t xml:space="preserve"> a následnej úhrade oprávnených výdavkov </w:t>
      </w:r>
      <w:r w:rsidRPr="001E5436">
        <w:rPr>
          <w:rFonts w:cstheme="minorHAnsi"/>
          <w:b/>
          <w:sz w:val="20"/>
          <w:u w:val="single"/>
        </w:rPr>
        <w:t>len zo zdrojov EÚ a štátneho rozpočtu na spolufinancovanie až do momentu dosiahnutia 95 % z finančnej medzery</w:t>
      </w:r>
      <w:r w:rsidR="009D53B0">
        <w:rPr>
          <w:rFonts w:cstheme="minorHAnsi"/>
          <w:b/>
          <w:sz w:val="20"/>
          <w:u w:val="single"/>
        </w:rPr>
        <w:t xml:space="preserve"> </w:t>
      </w:r>
      <w:r w:rsidR="009D53B0" w:rsidRPr="0095681C">
        <w:rPr>
          <w:rFonts w:cstheme="minorHAnsi"/>
          <w:b/>
          <w:sz w:val="20"/>
          <w:u w:val="single"/>
        </w:rPr>
        <w:t>vyčíslenej v rámci CBA projektu.</w:t>
      </w:r>
      <w:r w:rsidRPr="0095681C">
        <w:rPr>
          <w:rFonts w:cstheme="minorHAnsi"/>
          <w:sz w:val="20"/>
        </w:rPr>
        <w:t xml:space="preserve"> t. j. 95 % z hodnoty COV projektu uvedených v Zmluve o poskytnutí NFP.</w:t>
      </w:r>
      <w:r w:rsidR="0095681C" w:rsidRPr="0095681C">
        <w:rPr>
          <w:rFonts w:cstheme="minorHAnsi"/>
          <w:sz w:val="20"/>
        </w:rPr>
        <w:t xml:space="preserve"> </w:t>
      </w:r>
      <w:r w:rsidRPr="0095681C">
        <w:rPr>
          <w:rFonts w:cstheme="minorHAnsi"/>
          <w:sz w:val="20"/>
        </w:rPr>
        <w:t xml:space="preserve">Zároveň platí, že ak vznikne prijímateľovi povinnosť spolufinancovať projekt v stanovenej výške z finančnej medzery v súlade so </w:t>
      </w:r>
      <w:r w:rsidR="00F225A9" w:rsidRPr="0095681C">
        <w:rPr>
          <w:rFonts w:cstheme="minorHAnsi"/>
          <w:sz w:val="20"/>
          <w:szCs w:val="20"/>
        </w:rPr>
        <w:t>Stratégiou financovania Európskeho</w:t>
      </w:r>
      <w:r w:rsidR="00F225A9" w:rsidRPr="004C3EE5">
        <w:rPr>
          <w:rFonts w:cstheme="minorHAnsi"/>
          <w:sz w:val="20"/>
          <w:szCs w:val="20"/>
        </w:rPr>
        <w:t xml:space="preserve"> fondu regionálneho rozvoja, Európskeho sociálneho fondu plus, Kohézneho fondu, Fondu na spravodlivú transformáciu a Európskeho námorného, rybolovného a </w:t>
      </w:r>
      <w:proofErr w:type="spellStart"/>
      <w:r w:rsidR="00F225A9" w:rsidRPr="004C3EE5">
        <w:rPr>
          <w:rFonts w:cstheme="minorHAnsi"/>
          <w:sz w:val="20"/>
          <w:szCs w:val="20"/>
        </w:rPr>
        <w:t>akvakultúrneho</w:t>
      </w:r>
      <w:proofErr w:type="spellEnd"/>
      <w:r w:rsidR="00F225A9" w:rsidRPr="004C3EE5">
        <w:rPr>
          <w:rFonts w:cstheme="minorHAnsi"/>
          <w:sz w:val="20"/>
          <w:szCs w:val="20"/>
        </w:rPr>
        <w:t xml:space="preserve"> fondu na programové obdobie 2021 - 2027  v súlade s finančným plánom programu</w:t>
      </w:r>
      <w:r>
        <w:rPr>
          <w:rFonts w:cstheme="minorHAnsi"/>
          <w:sz w:val="20"/>
        </w:rPr>
        <w:t>, je prijímateľ aj naďalej povinný priebežne zabezpečiť tieto prostriedky z vlastných zdrojov, a to pomerne k zdrojom EÚ a ŠR na spolufinancovanie.</w:t>
      </w:r>
    </w:p>
    <w:p w14:paraId="5706F469" w14:textId="77777777" w:rsidR="004149C4" w:rsidRPr="00A956FF" w:rsidRDefault="004149C4" w:rsidP="004149C4">
      <w:pPr>
        <w:keepNext/>
        <w:keepLines/>
        <w:spacing w:after="240" w:line="276" w:lineRule="auto"/>
        <w:jc w:val="both"/>
        <w:rPr>
          <w:rFonts w:cstheme="minorHAnsi"/>
          <w:b/>
          <w:sz w:val="20"/>
        </w:rPr>
      </w:pPr>
      <w:r w:rsidRPr="00910508">
        <w:rPr>
          <w:rFonts w:cstheme="minorHAnsi"/>
          <w:b/>
          <w:sz w:val="20"/>
        </w:rPr>
        <w:t>Záverečných 5 % z hodnoty NFP</w:t>
      </w:r>
      <w:r>
        <w:rPr>
          <w:rFonts w:cstheme="minorHAnsi"/>
          <w:sz w:val="20"/>
        </w:rPr>
        <w:t xml:space="preserve"> </w:t>
      </w:r>
      <w:r w:rsidRPr="00910508">
        <w:rPr>
          <w:rFonts w:cstheme="minorHAnsi"/>
          <w:sz w:val="20"/>
        </w:rPr>
        <w:t xml:space="preserve">bude prijímateľovi uhradené za podmienok, že </w:t>
      </w:r>
      <w:r w:rsidRPr="00910508">
        <w:rPr>
          <w:rFonts w:cstheme="minorHAnsi"/>
          <w:b/>
          <w:sz w:val="20"/>
        </w:rPr>
        <w:t xml:space="preserve">realizácia </w:t>
      </w:r>
      <w:r>
        <w:rPr>
          <w:rFonts w:cstheme="minorHAnsi"/>
          <w:b/>
          <w:sz w:val="20"/>
        </w:rPr>
        <w:t xml:space="preserve">hlavných aktivít </w:t>
      </w:r>
      <w:r w:rsidRPr="00910508">
        <w:rPr>
          <w:rFonts w:cstheme="minorHAnsi"/>
          <w:b/>
          <w:sz w:val="20"/>
        </w:rPr>
        <w:t>projektu bude ukončená a prijímateľ riadne preukáže vynaloženie všetkých výdavkov do výšky 100</w:t>
      </w:r>
      <w:r>
        <w:rPr>
          <w:rFonts w:cstheme="minorHAnsi"/>
          <w:b/>
          <w:sz w:val="20"/>
        </w:rPr>
        <w:t xml:space="preserve"> </w:t>
      </w:r>
      <w:r w:rsidRPr="00910508">
        <w:rPr>
          <w:rFonts w:cstheme="minorHAnsi"/>
          <w:b/>
          <w:sz w:val="20"/>
        </w:rPr>
        <w:t>% vrátane výdavkov neoprávnených nad rámec finančnej medzery</w:t>
      </w:r>
      <w:r w:rsidRPr="0047016B">
        <w:rPr>
          <w:rFonts w:cstheme="minorHAnsi"/>
          <w:sz w:val="20"/>
        </w:rPr>
        <w:t>.</w:t>
      </w:r>
    </w:p>
    <w:p w14:paraId="6E24E227" w14:textId="0AA75209" w:rsidR="00B42640" w:rsidRDefault="00B42640" w:rsidP="00B42640">
      <w:pPr>
        <w:keepNext/>
        <w:keepLines/>
        <w:tabs>
          <w:tab w:val="left" w:pos="3450"/>
        </w:tabs>
        <w:spacing w:after="240" w:line="276" w:lineRule="auto"/>
        <w:jc w:val="both"/>
        <w:rPr>
          <w:rFonts w:cstheme="minorHAnsi"/>
          <w:sz w:val="20"/>
        </w:rPr>
      </w:pPr>
      <w:r>
        <w:rPr>
          <w:rFonts w:cstheme="minorHAnsi"/>
          <w:sz w:val="20"/>
        </w:rPr>
        <w:t xml:space="preserve">Najneskôr pred predložením záverečnej </w:t>
      </w:r>
      <w:proofErr w:type="spellStart"/>
      <w:r>
        <w:rPr>
          <w:rFonts w:cstheme="minorHAnsi"/>
          <w:sz w:val="20"/>
        </w:rPr>
        <w:t>ŽoP</w:t>
      </w:r>
      <w:proofErr w:type="spellEnd"/>
      <w:r>
        <w:rPr>
          <w:rFonts w:cstheme="minorHAnsi"/>
          <w:sz w:val="20"/>
        </w:rPr>
        <w:t xml:space="preserve"> je</w:t>
      </w:r>
      <w:r w:rsidRPr="001E5436">
        <w:rPr>
          <w:rFonts w:cstheme="minorHAnsi"/>
          <w:sz w:val="20"/>
        </w:rPr>
        <w:t xml:space="preserve"> prijímateľ </w:t>
      </w:r>
      <w:r>
        <w:rPr>
          <w:rFonts w:cstheme="minorHAnsi"/>
          <w:sz w:val="20"/>
        </w:rPr>
        <w:t xml:space="preserve">povinný </w:t>
      </w:r>
      <w:r w:rsidRPr="001E5436">
        <w:rPr>
          <w:rFonts w:cstheme="minorHAnsi"/>
          <w:sz w:val="20"/>
        </w:rPr>
        <w:t>pred</w:t>
      </w:r>
      <w:r>
        <w:rPr>
          <w:rFonts w:cstheme="minorHAnsi"/>
          <w:sz w:val="20"/>
        </w:rPr>
        <w:t>ložiť</w:t>
      </w:r>
      <w:r w:rsidRPr="001E5436">
        <w:rPr>
          <w:rFonts w:cstheme="minorHAnsi"/>
          <w:sz w:val="20"/>
        </w:rPr>
        <w:t xml:space="preserve"> </w:t>
      </w:r>
      <w:r>
        <w:rPr>
          <w:rFonts w:cstheme="minorHAnsi"/>
          <w:sz w:val="20"/>
        </w:rPr>
        <w:t xml:space="preserve">RO </w:t>
      </w:r>
      <w:r w:rsidRPr="001E5436">
        <w:rPr>
          <w:rFonts w:cstheme="minorHAnsi"/>
          <w:sz w:val="20"/>
        </w:rPr>
        <w:t xml:space="preserve">prostredníctvom </w:t>
      </w:r>
      <w:r>
        <w:rPr>
          <w:rFonts w:cstheme="minorHAnsi"/>
          <w:sz w:val="20"/>
        </w:rPr>
        <w:t xml:space="preserve">verejnej časti </w:t>
      </w:r>
      <w:r w:rsidRPr="001E5436">
        <w:rPr>
          <w:rFonts w:cstheme="minorHAnsi"/>
          <w:sz w:val="20"/>
        </w:rPr>
        <w:t>ITMS</w:t>
      </w:r>
      <w:r w:rsidR="00F225A9">
        <w:rPr>
          <w:rFonts w:cstheme="minorHAnsi"/>
          <w:sz w:val="20"/>
        </w:rPr>
        <w:t>2021</w:t>
      </w:r>
      <w:r>
        <w:rPr>
          <w:rFonts w:cstheme="minorHAnsi"/>
          <w:sz w:val="20"/>
        </w:rPr>
        <w:t>+</w:t>
      </w:r>
      <w:r w:rsidRPr="001E5436">
        <w:rPr>
          <w:rFonts w:cstheme="minorHAnsi"/>
          <w:sz w:val="20"/>
        </w:rPr>
        <w:t xml:space="preserve">  </w:t>
      </w:r>
      <w:proofErr w:type="spellStart"/>
      <w:r w:rsidRPr="001E5436">
        <w:rPr>
          <w:rFonts w:cstheme="minorHAnsi"/>
          <w:sz w:val="20"/>
        </w:rPr>
        <w:t>ŽoP</w:t>
      </w:r>
      <w:proofErr w:type="spellEnd"/>
      <w:r w:rsidRPr="001E5436">
        <w:rPr>
          <w:rFonts w:cstheme="minorHAnsi"/>
          <w:sz w:val="20"/>
        </w:rPr>
        <w:t xml:space="preserve"> za </w:t>
      </w:r>
      <w:r w:rsidRPr="001E5436">
        <w:rPr>
          <w:rFonts w:cstheme="minorHAnsi"/>
          <w:b/>
          <w:sz w:val="20"/>
        </w:rPr>
        <w:t>všetky fakturované výdavky nad rámec finančnej medzery vyčíslené v rámci CBA</w:t>
      </w:r>
      <w:r>
        <w:rPr>
          <w:rFonts w:cstheme="minorHAnsi"/>
          <w:b/>
          <w:sz w:val="20"/>
        </w:rPr>
        <w:t xml:space="preserve"> projektu</w:t>
      </w:r>
      <w:r w:rsidRPr="001E5436">
        <w:rPr>
          <w:rFonts w:cstheme="minorHAnsi"/>
          <w:b/>
          <w:sz w:val="20"/>
        </w:rPr>
        <w:t>.</w:t>
      </w:r>
      <w:r w:rsidRPr="001E5436">
        <w:rPr>
          <w:rFonts w:cstheme="minorHAnsi"/>
          <w:sz w:val="20"/>
        </w:rPr>
        <w:t xml:space="preserve"> </w:t>
      </w:r>
    </w:p>
    <w:p w14:paraId="1804EB8E" w14:textId="71A6E092" w:rsidR="00B42640" w:rsidRPr="001E5436" w:rsidRDefault="00B42640" w:rsidP="00B42640">
      <w:pPr>
        <w:keepNext/>
        <w:keepLines/>
        <w:tabs>
          <w:tab w:val="left" w:pos="3450"/>
        </w:tabs>
        <w:spacing w:after="240" w:line="276" w:lineRule="auto"/>
        <w:jc w:val="both"/>
        <w:rPr>
          <w:rFonts w:cstheme="minorHAnsi"/>
          <w:sz w:val="20"/>
        </w:rPr>
      </w:pPr>
      <w:r w:rsidRPr="001E5436">
        <w:rPr>
          <w:rFonts w:cstheme="minorHAnsi"/>
          <w:sz w:val="20"/>
        </w:rPr>
        <w:t>P</w:t>
      </w:r>
      <w:r>
        <w:rPr>
          <w:rFonts w:cstheme="minorHAnsi"/>
          <w:sz w:val="20"/>
        </w:rPr>
        <w:t>rijímateľ</w:t>
      </w:r>
      <w:r w:rsidRPr="001E5436">
        <w:rPr>
          <w:rFonts w:cstheme="minorHAnsi"/>
          <w:sz w:val="20"/>
        </w:rPr>
        <w:t xml:space="preserve"> pri vypĺňaní a zasielaní </w:t>
      </w:r>
      <w:proofErr w:type="spellStart"/>
      <w:r w:rsidRPr="001E5436">
        <w:rPr>
          <w:rFonts w:cstheme="minorHAnsi"/>
          <w:sz w:val="20"/>
        </w:rPr>
        <w:t>ŽoP</w:t>
      </w:r>
      <w:proofErr w:type="spellEnd"/>
      <w:r w:rsidRPr="001E5436">
        <w:rPr>
          <w:rFonts w:cstheme="minorHAnsi"/>
          <w:sz w:val="20"/>
        </w:rPr>
        <w:t xml:space="preserve"> cez </w:t>
      </w:r>
      <w:r>
        <w:rPr>
          <w:rFonts w:cstheme="minorHAnsi"/>
          <w:sz w:val="20"/>
        </w:rPr>
        <w:t xml:space="preserve">verejnú časť </w:t>
      </w:r>
      <w:r w:rsidRPr="001E5436">
        <w:rPr>
          <w:rFonts w:cstheme="minorHAnsi"/>
          <w:sz w:val="20"/>
        </w:rPr>
        <w:t>ITMS</w:t>
      </w:r>
      <w:r w:rsidR="00F225A9">
        <w:rPr>
          <w:rFonts w:cstheme="minorHAnsi"/>
          <w:sz w:val="20"/>
        </w:rPr>
        <w:t>2021</w:t>
      </w:r>
      <w:r>
        <w:rPr>
          <w:rFonts w:cstheme="minorHAnsi"/>
          <w:sz w:val="20"/>
        </w:rPr>
        <w:t>+</w:t>
      </w:r>
      <w:r w:rsidRPr="001E5436">
        <w:rPr>
          <w:rFonts w:cstheme="minorHAnsi"/>
          <w:sz w:val="20"/>
        </w:rPr>
        <w:t>, obsahujúce výdavky nad rámec finančnej medzery, postupuje rovna</w:t>
      </w:r>
      <w:r w:rsidR="00F225A9">
        <w:rPr>
          <w:rFonts w:cstheme="minorHAnsi"/>
          <w:sz w:val="20"/>
        </w:rPr>
        <w:t xml:space="preserve">kým spôsobom ako pri predkladaní klasických </w:t>
      </w:r>
      <w:proofErr w:type="spellStart"/>
      <w:r w:rsidR="00F225A9">
        <w:rPr>
          <w:rFonts w:cstheme="minorHAnsi"/>
          <w:sz w:val="20"/>
        </w:rPr>
        <w:t>ŽoP</w:t>
      </w:r>
      <w:proofErr w:type="spellEnd"/>
      <w:r w:rsidR="00F225A9">
        <w:rPr>
          <w:rFonts w:cstheme="minorHAnsi"/>
          <w:sz w:val="20"/>
        </w:rPr>
        <w:t xml:space="preserve"> a </w:t>
      </w:r>
      <w:r w:rsidRPr="001E5436">
        <w:rPr>
          <w:rFonts w:cstheme="minorHAnsi"/>
          <w:sz w:val="20"/>
        </w:rPr>
        <w:t xml:space="preserve">postupuje v zmysle </w:t>
      </w:r>
      <w:r w:rsidR="00F225A9">
        <w:rPr>
          <w:rFonts w:cstheme="minorHAnsi"/>
          <w:sz w:val="20"/>
        </w:rPr>
        <w:t xml:space="preserve">štandardných </w:t>
      </w:r>
      <w:r w:rsidRPr="001E5436">
        <w:rPr>
          <w:rFonts w:cstheme="minorHAnsi"/>
          <w:sz w:val="20"/>
        </w:rPr>
        <w:t xml:space="preserve">pokynov na vypĺňanie </w:t>
      </w:r>
      <w:proofErr w:type="spellStart"/>
      <w:r w:rsidRPr="001E5436">
        <w:rPr>
          <w:rFonts w:cstheme="minorHAnsi"/>
          <w:sz w:val="20"/>
        </w:rPr>
        <w:t>ŽoP</w:t>
      </w:r>
      <w:proofErr w:type="spellEnd"/>
      <w:r>
        <w:rPr>
          <w:rFonts w:cstheme="minorHAnsi"/>
          <w:sz w:val="20"/>
        </w:rPr>
        <w:t>.</w:t>
      </w:r>
    </w:p>
    <w:p w14:paraId="5580586A" w14:textId="3064AAEB" w:rsidR="00B42640" w:rsidRPr="00103E00" w:rsidRDefault="00B42640" w:rsidP="00B42640">
      <w:pPr>
        <w:keepNext/>
        <w:keepLines/>
        <w:spacing w:after="240" w:line="276" w:lineRule="auto"/>
        <w:jc w:val="both"/>
        <w:rPr>
          <w:rFonts w:cs="Calibri"/>
          <w:i/>
          <w:color w:val="FF0000"/>
          <w:sz w:val="20"/>
          <w:szCs w:val="20"/>
        </w:rPr>
      </w:pPr>
      <w:r w:rsidRPr="00FA1302">
        <w:rPr>
          <w:rFonts w:cs="Calibri"/>
          <w:i/>
          <w:sz w:val="20"/>
          <w:szCs w:val="20"/>
        </w:rPr>
        <w:t>V takomto prípade, prijímateľ tieto výda</w:t>
      </w:r>
      <w:r w:rsidR="00F225A9" w:rsidRPr="00FA1302">
        <w:rPr>
          <w:rFonts w:cs="Calibri"/>
          <w:i/>
          <w:sz w:val="20"/>
          <w:szCs w:val="20"/>
        </w:rPr>
        <w:t>vky deklaruje tak, že v ITMS2021</w:t>
      </w:r>
      <w:r w:rsidRPr="00FA1302">
        <w:rPr>
          <w:rFonts w:cs="Calibri"/>
          <w:i/>
          <w:sz w:val="20"/>
          <w:szCs w:val="20"/>
        </w:rPr>
        <w:t>+ na každom deklarovanom výdavku určiť neoprávnenú sumu a zároveň určí typ neoprávnenej sumy.</w:t>
      </w:r>
      <w:r w:rsidRPr="00FA1302">
        <w:rPr>
          <w:rStyle w:val="Odkaznapoznmkupodiarou"/>
          <w:rFonts w:cs="Calibri"/>
          <w:i/>
          <w:sz w:val="20"/>
          <w:szCs w:val="20"/>
        </w:rPr>
        <w:footnoteReference w:id="2"/>
      </w:r>
      <w:r w:rsidRPr="00FA1302">
        <w:rPr>
          <w:rFonts w:cs="Calibri"/>
          <w:i/>
          <w:sz w:val="20"/>
          <w:szCs w:val="20"/>
        </w:rPr>
        <w:t xml:space="preserve"> To znamená, že pri deklarovaní posledných 5% oprávnených výdavkov, prijímateľ </w:t>
      </w:r>
      <w:proofErr w:type="spellStart"/>
      <w:r w:rsidRPr="00FA1302">
        <w:rPr>
          <w:rFonts w:cs="Calibri"/>
          <w:i/>
          <w:sz w:val="20"/>
          <w:szCs w:val="20"/>
        </w:rPr>
        <w:t>vydeklaruje</w:t>
      </w:r>
      <w:proofErr w:type="spellEnd"/>
      <w:r w:rsidRPr="00FA1302">
        <w:rPr>
          <w:rFonts w:cs="Calibri"/>
          <w:i/>
          <w:sz w:val="20"/>
          <w:szCs w:val="20"/>
        </w:rPr>
        <w:t xml:space="preserve"> aj výdavky nad rámec finančnej medzery a zároveň na týchto výdavkoch určí nežiadanú sumu a typ nežiadanej </w:t>
      </w:r>
      <w:r w:rsidRPr="0095681C">
        <w:rPr>
          <w:rFonts w:cs="Calibri"/>
          <w:i/>
          <w:sz w:val="20"/>
          <w:szCs w:val="20"/>
        </w:rPr>
        <w:t>sumy "Výdavky nad rámec finančnej medzery".</w:t>
      </w:r>
    </w:p>
    <w:p w14:paraId="7F792C81" w14:textId="75711B66" w:rsidR="00B42640" w:rsidRPr="00103E00" w:rsidRDefault="00103E00" w:rsidP="00103E00">
      <w:pPr>
        <w:keepNext/>
        <w:keepLines/>
        <w:spacing w:after="240" w:line="276" w:lineRule="auto"/>
        <w:jc w:val="both"/>
        <w:rPr>
          <w:rFonts w:cstheme="minorHAnsi"/>
          <w:b/>
          <w:sz w:val="20"/>
        </w:rPr>
      </w:pPr>
      <w:r>
        <w:rPr>
          <w:rFonts w:cstheme="minorHAnsi"/>
          <w:sz w:val="20"/>
        </w:rPr>
        <w:t>R</w:t>
      </w:r>
      <w:r w:rsidR="00B42640">
        <w:rPr>
          <w:rFonts w:cstheme="minorHAnsi"/>
          <w:sz w:val="20"/>
        </w:rPr>
        <w:t xml:space="preserve">iadne </w:t>
      </w:r>
      <w:r>
        <w:rPr>
          <w:rFonts w:cstheme="minorHAnsi"/>
          <w:sz w:val="20"/>
        </w:rPr>
        <w:t xml:space="preserve">overenie vynaložených výdavkov nad rámec finančnej medzery </w:t>
      </w:r>
      <w:r w:rsidR="00B42640">
        <w:rPr>
          <w:rFonts w:cstheme="minorHAnsi"/>
          <w:sz w:val="20"/>
        </w:rPr>
        <w:t xml:space="preserve">zo strany </w:t>
      </w:r>
      <w:r>
        <w:rPr>
          <w:rFonts w:cstheme="minorHAnsi"/>
          <w:sz w:val="20"/>
        </w:rPr>
        <w:t>S</w:t>
      </w:r>
      <w:r w:rsidR="00B42640">
        <w:rPr>
          <w:rFonts w:cstheme="minorHAnsi"/>
          <w:sz w:val="20"/>
        </w:rPr>
        <w:t xml:space="preserve">O </w:t>
      </w:r>
      <w:r w:rsidR="00B42640" w:rsidRPr="001E5436">
        <w:rPr>
          <w:rFonts w:cstheme="minorHAnsi"/>
          <w:b/>
          <w:sz w:val="20"/>
        </w:rPr>
        <w:t>je nevyhnutnou podmienkou pre umožnenie úhrady záverečných 5 % hodnoty NFP projektu.</w:t>
      </w:r>
      <w:r w:rsidR="00B42640">
        <w:rPr>
          <w:rFonts w:cstheme="minorHAnsi"/>
          <w:b/>
          <w:sz w:val="20"/>
        </w:rPr>
        <w:t xml:space="preserve"> </w:t>
      </w:r>
      <w:r w:rsidR="00B42640" w:rsidRPr="001E5436">
        <w:rPr>
          <w:rFonts w:cstheme="minorHAnsi"/>
          <w:sz w:val="20"/>
        </w:rPr>
        <w:t xml:space="preserve">Po </w:t>
      </w:r>
      <w:r w:rsidR="00B42640">
        <w:rPr>
          <w:rFonts w:cstheme="minorHAnsi"/>
          <w:sz w:val="20"/>
        </w:rPr>
        <w:t xml:space="preserve">riadnom doručení </w:t>
      </w:r>
      <w:proofErr w:type="spellStart"/>
      <w:r w:rsidR="00B42640">
        <w:rPr>
          <w:rFonts w:cstheme="minorHAnsi"/>
          <w:sz w:val="20"/>
        </w:rPr>
        <w:t>ŽoP</w:t>
      </w:r>
      <w:proofErr w:type="spellEnd"/>
      <w:r w:rsidR="00B42640">
        <w:rPr>
          <w:rFonts w:cstheme="minorHAnsi"/>
          <w:sz w:val="20"/>
        </w:rPr>
        <w:t xml:space="preserve"> obsahujúcej výdavky </w:t>
      </w:r>
      <w:r w:rsidR="003433BA">
        <w:rPr>
          <w:rFonts w:cstheme="minorHAnsi"/>
          <w:sz w:val="20"/>
        </w:rPr>
        <w:t>nad rámec finančnej medzery na S</w:t>
      </w:r>
      <w:r w:rsidR="00B42640">
        <w:rPr>
          <w:rFonts w:cstheme="minorHAnsi"/>
          <w:sz w:val="20"/>
        </w:rPr>
        <w:t>O</w:t>
      </w:r>
      <w:r w:rsidR="003433BA">
        <w:rPr>
          <w:rFonts w:cstheme="minorHAnsi"/>
          <w:sz w:val="20"/>
        </w:rPr>
        <w:t>, vykoná S</w:t>
      </w:r>
      <w:r w:rsidR="00B42640" w:rsidRPr="001E5436">
        <w:rPr>
          <w:rFonts w:cstheme="minorHAnsi"/>
          <w:sz w:val="20"/>
        </w:rPr>
        <w:t xml:space="preserve">O administratívnu </w:t>
      </w:r>
      <w:r w:rsidR="00B42640">
        <w:rPr>
          <w:rFonts w:cstheme="minorHAnsi"/>
          <w:sz w:val="20"/>
        </w:rPr>
        <w:t xml:space="preserve">finančnú </w:t>
      </w:r>
      <w:r w:rsidR="00B42640" w:rsidRPr="001E5436">
        <w:rPr>
          <w:rFonts w:cstheme="minorHAnsi"/>
          <w:sz w:val="20"/>
        </w:rPr>
        <w:t xml:space="preserve">kontrolu deklarovaných výdavkov </w:t>
      </w:r>
      <w:r w:rsidR="00B42640">
        <w:rPr>
          <w:rFonts w:cstheme="minorHAnsi"/>
          <w:sz w:val="20"/>
        </w:rPr>
        <w:t>v zmysle svojich platných interných postupov</w:t>
      </w:r>
      <w:r w:rsidR="00B42640" w:rsidRPr="001E5436">
        <w:rPr>
          <w:rFonts w:cstheme="minorHAnsi"/>
          <w:sz w:val="20"/>
        </w:rPr>
        <w:t>. Finančné prostriedky deklarované v </w:t>
      </w:r>
      <w:proofErr w:type="spellStart"/>
      <w:r w:rsidR="00B42640" w:rsidRPr="001E5436">
        <w:rPr>
          <w:rFonts w:cstheme="minorHAnsi"/>
          <w:sz w:val="20"/>
        </w:rPr>
        <w:t>ŽoP</w:t>
      </w:r>
      <w:proofErr w:type="spellEnd"/>
      <w:r w:rsidR="00B42640" w:rsidRPr="001E5436">
        <w:rPr>
          <w:rFonts w:cstheme="minorHAnsi"/>
          <w:sz w:val="20"/>
        </w:rPr>
        <w:t xml:space="preserve"> ako </w:t>
      </w:r>
      <w:r w:rsidR="00B42640" w:rsidRPr="001E5436">
        <w:rPr>
          <w:rFonts w:cstheme="minorHAnsi"/>
          <w:b/>
          <w:sz w:val="20"/>
        </w:rPr>
        <w:t xml:space="preserve">výdavky nad rámec finančnej medzery už nebudú </w:t>
      </w:r>
      <w:r w:rsidR="00B42640">
        <w:rPr>
          <w:rFonts w:cstheme="minorHAnsi"/>
          <w:b/>
          <w:sz w:val="20"/>
        </w:rPr>
        <w:t xml:space="preserve">ďalej </w:t>
      </w:r>
      <w:r w:rsidR="003433BA">
        <w:rPr>
          <w:rFonts w:cstheme="minorHAnsi"/>
          <w:b/>
          <w:sz w:val="20"/>
        </w:rPr>
        <w:t>prijímateľovi uhrádzané</w:t>
      </w:r>
      <w:r>
        <w:rPr>
          <w:rFonts w:cstheme="minorHAnsi"/>
          <w:b/>
          <w:sz w:val="20"/>
        </w:rPr>
        <w:t xml:space="preserve"> prostredníctvom VOJ</w:t>
      </w:r>
      <w:r w:rsidR="00B42640" w:rsidRPr="001E5436">
        <w:rPr>
          <w:rFonts w:cstheme="minorHAnsi"/>
          <w:sz w:val="20"/>
        </w:rPr>
        <w:t>.</w:t>
      </w:r>
      <w:r>
        <w:rPr>
          <w:rFonts w:cstheme="minorHAnsi"/>
          <w:b/>
          <w:sz w:val="20"/>
        </w:rPr>
        <w:t xml:space="preserve"> </w:t>
      </w:r>
      <w:r w:rsidR="00B42640">
        <w:rPr>
          <w:rFonts w:cstheme="minorHAnsi"/>
          <w:sz w:val="20"/>
        </w:rPr>
        <w:t>A</w:t>
      </w:r>
      <w:r w:rsidR="00B42640" w:rsidRPr="00D72952">
        <w:rPr>
          <w:rFonts w:cstheme="minorHAnsi"/>
          <w:sz w:val="20"/>
        </w:rPr>
        <w:t>kýkoľvek vecne</w:t>
      </w:r>
      <w:r w:rsidR="00625476">
        <w:rPr>
          <w:rFonts w:cstheme="minorHAnsi"/>
          <w:sz w:val="20"/>
        </w:rPr>
        <w:t xml:space="preserve"> neoprávnený výdavok v zmysle PSK </w:t>
      </w:r>
      <w:r w:rsidR="00B42640" w:rsidRPr="00D72952">
        <w:rPr>
          <w:rFonts w:cstheme="minorHAnsi"/>
          <w:sz w:val="20"/>
        </w:rPr>
        <w:t xml:space="preserve">si prijímateľ </w:t>
      </w:r>
      <w:r w:rsidR="00B42640">
        <w:rPr>
          <w:rFonts w:cstheme="minorHAnsi"/>
          <w:sz w:val="20"/>
        </w:rPr>
        <w:t xml:space="preserve">vždy </w:t>
      </w:r>
      <w:r w:rsidR="00B42640" w:rsidRPr="00D72952">
        <w:rPr>
          <w:rFonts w:cstheme="minorHAnsi"/>
          <w:sz w:val="20"/>
        </w:rPr>
        <w:t>hradí priebežne z vlastných zdrojov.</w:t>
      </w:r>
    </w:p>
    <w:p w14:paraId="66AD3DF5" w14:textId="47A5ACAA" w:rsidR="00B42640" w:rsidRPr="00BE4C87" w:rsidRDefault="00B42640" w:rsidP="00B42640">
      <w:pPr>
        <w:keepNext/>
        <w:keepLines/>
        <w:spacing w:line="276" w:lineRule="auto"/>
        <w:jc w:val="both"/>
        <w:rPr>
          <w:rFonts w:cstheme="minorHAnsi"/>
          <w:sz w:val="20"/>
        </w:rPr>
      </w:pPr>
      <w:r w:rsidRPr="00BE4C87">
        <w:rPr>
          <w:rFonts w:cstheme="minorHAnsi"/>
          <w:sz w:val="20"/>
        </w:rPr>
        <w:t>Ak zo ZMS vyplynie, že projekt generuje príjmy, ktoré neboli predtým zahrnuté do výpočtu NFP, bude prijímateľ vyzvaný na predloženie aktualizovanej analý</w:t>
      </w:r>
      <w:r w:rsidR="00625476">
        <w:rPr>
          <w:rFonts w:cstheme="minorHAnsi"/>
          <w:sz w:val="20"/>
        </w:rPr>
        <w:t xml:space="preserve">zy nákladov a výnosov (CBA). SO </w:t>
      </w:r>
      <w:r w:rsidRPr="00BE4C87">
        <w:rPr>
          <w:rFonts w:cstheme="minorHAnsi"/>
          <w:sz w:val="20"/>
        </w:rPr>
        <w:t xml:space="preserve">zhodnotí, či prijímateľ postupoval v súlade s  Príručkou k analýze nákladov a výnosov investičných projektov v oblasti dopravy a či výstupy z CBA spĺňajú podmienky na spolufinancovanie. Na základe výsledkov analýzy sa následne upraví suma NFP a zohľadní sa v záverečnej </w:t>
      </w:r>
      <w:proofErr w:type="spellStart"/>
      <w:r w:rsidRPr="00BE4C87">
        <w:rPr>
          <w:rFonts w:cstheme="minorHAnsi"/>
          <w:sz w:val="20"/>
        </w:rPr>
        <w:t>ŽoP</w:t>
      </w:r>
      <w:proofErr w:type="spellEnd"/>
      <w:r w:rsidRPr="00BE4C87">
        <w:rPr>
          <w:rFonts w:cstheme="minorHAnsi"/>
          <w:sz w:val="20"/>
        </w:rPr>
        <w:t>.</w:t>
      </w:r>
    </w:p>
    <w:p w14:paraId="1F2ECBD4" w14:textId="77777777" w:rsidR="00B42640" w:rsidRDefault="00B42640" w:rsidP="00B42640"/>
    <w:p w14:paraId="614E461A" w14:textId="77777777" w:rsidR="00B42640" w:rsidRDefault="00B42640" w:rsidP="00B42640"/>
    <w:p w14:paraId="12E4353B" w14:textId="77777777" w:rsidR="00B42640" w:rsidRPr="00A956FF" w:rsidRDefault="00B42640" w:rsidP="003433BA">
      <w:pPr>
        <w:keepNext/>
        <w:keepLines/>
        <w:spacing w:after="120" w:line="276" w:lineRule="auto"/>
        <w:jc w:val="both"/>
        <w:outlineLvl w:val="2"/>
        <w:rPr>
          <w:rFonts w:ascii="Arial Narrow" w:eastAsia="Times New Roman" w:hAnsi="Arial Narrow" w:cstheme="minorHAnsi"/>
          <w:b/>
          <w:bCs/>
          <w:color w:val="4A81BD"/>
          <w:sz w:val="28"/>
          <w:szCs w:val="24"/>
          <w:lang w:eastAsia="sk-SK"/>
        </w:rPr>
      </w:pPr>
      <w:bookmarkStart w:id="10" w:name="_Toc469685698"/>
      <w:r w:rsidRPr="00A956FF">
        <w:rPr>
          <w:rFonts w:ascii="Arial Narrow" w:eastAsia="Times New Roman" w:hAnsi="Arial Narrow" w:cstheme="minorHAnsi"/>
          <w:b/>
          <w:bCs/>
          <w:color w:val="4A81BD"/>
          <w:sz w:val="28"/>
          <w:szCs w:val="24"/>
          <w:lang w:eastAsia="sk-SK"/>
        </w:rPr>
        <w:lastRenderedPageBreak/>
        <w:t>Monitorovanie príjmov počas realizácie projektu</w:t>
      </w:r>
      <w:bookmarkEnd w:id="10"/>
    </w:p>
    <w:p w14:paraId="57DACD7B" w14:textId="2BB70451" w:rsidR="00B42640" w:rsidRPr="00A415D8" w:rsidRDefault="00B42640" w:rsidP="00B42640">
      <w:pPr>
        <w:keepNext/>
        <w:keepLines/>
        <w:spacing w:line="276" w:lineRule="auto"/>
        <w:jc w:val="both"/>
        <w:rPr>
          <w:rFonts w:ascii="Calibri" w:hAnsi="Calibri" w:cs="Calibri"/>
          <w:sz w:val="20"/>
        </w:rPr>
      </w:pPr>
      <w:r w:rsidRPr="00A415D8">
        <w:rPr>
          <w:rFonts w:ascii="Calibri" w:hAnsi="Calibri" w:cs="Calibri"/>
          <w:sz w:val="20"/>
        </w:rPr>
        <w:t>Prijímateľ monitoruje všetky príjmy dosiahnuté počas obdobia realizácie projektu. Príklady príjmov projektu sú uvedené v</w:t>
      </w:r>
      <w:r w:rsidR="00E167A8">
        <w:rPr>
          <w:rFonts w:ascii="Calibri" w:hAnsi="Calibri" w:cs="Calibri"/>
          <w:sz w:val="20"/>
        </w:rPr>
        <w:t xml:space="preserve"> úvode tejto prílohy </w:t>
      </w:r>
      <w:proofErr w:type="spellStart"/>
      <w:r w:rsidR="00E167A8">
        <w:rPr>
          <w:rFonts w:ascii="Calibri" w:hAnsi="Calibri" w:cs="Calibri"/>
          <w:sz w:val="20"/>
        </w:rPr>
        <w:t>PpP</w:t>
      </w:r>
      <w:proofErr w:type="spellEnd"/>
      <w:r w:rsidRPr="00A415D8">
        <w:rPr>
          <w:rFonts w:ascii="Calibri" w:hAnsi="Calibri" w:cs="Calibri"/>
          <w:sz w:val="20"/>
        </w:rPr>
        <w:t xml:space="preserve">. Prijímateľ súčasne s príjmami monitoruje prevádzkové výdavky. Prevádzkové výdavky zahŕňajú všetky výdavky projektu súvisiace s jeho prevádzkou, ktoré sú predpokladané pre nákup tovaru a služieb, a ktoré sa spotrebovávajú v každom účtovnom období (priame výrobné náklady, administratívne výdavky, výdavky na tržby a distribúciu). Z prevádzkových výdavkov musia byť vyňaté všetky položky, ktoré nezvyšujú efektívne peňažné výdavky – nie sú v cash </w:t>
      </w:r>
      <w:proofErr w:type="spellStart"/>
      <w:r w:rsidRPr="00A415D8">
        <w:rPr>
          <w:rFonts w:ascii="Calibri" w:hAnsi="Calibri" w:cs="Calibri"/>
          <w:sz w:val="20"/>
        </w:rPr>
        <w:t>flow</w:t>
      </w:r>
      <w:proofErr w:type="spellEnd"/>
      <w:r w:rsidRPr="00A415D8">
        <w:rPr>
          <w:rFonts w:ascii="Calibri" w:hAnsi="Calibri" w:cs="Calibri"/>
          <w:sz w:val="20"/>
        </w:rPr>
        <w:t xml:space="preserve"> projektu (napr. odpisy, rezervy pre nepredvídané straty, rezervy na budúce náklady) a finančné náklady - platby úrokov. Súčasťou prevádzkových výdavkov môžu byť aj výdavky vzniknuté počas prevádzkovej fázy projektu (napr. obnova zariadenia s kratšou životnosťou, mimoriadna údržba).</w:t>
      </w:r>
    </w:p>
    <w:p w14:paraId="14C75B86" w14:textId="34B695DA" w:rsidR="00B42640" w:rsidRPr="00A415D8" w:rsidRDefault="00B42640" w:rsidP="00B42640">
      <w:pPr>
        <w:keepNext/>
        <w:keepLines/>
        <w:spacing w:line="276" w:lineRule="auto"/>
        <w:jc w:val="both"/>
        <w:rPr>
          <w:rFonts w:ascii="Calibri" w:hAnsi="Calibri" w:cs="Calibri"/>
          <w:sz w:val="20"/>
        </w:rPr>
      </w:pPr>
      <w:r w:rsidRPr="00A415D8">
        <w:rPr>
          <w:rFonts w:ascii="Calibri" w:hAnsi="Calibri" w:cs="Calibri"/>
          <w:sz w:val="20"/>
        </w:rPr>
        <w:t>Výšku príjmov a výdavkov monitorovaného obdobia musí prijímateľ náležite dokladovať prostredníctvom analytickej evidencie príjmov a výdavkov viažucich sa na realizovan</w:t>
      </w:r>
      <w:r w:rsidR="00625476">
        <w:rPr>
          <w:rFonts w:ascii="Calibri" w:hAnsi="Calibri" w:cs="Calibri"/>
          <w:sz w:val="20"/>
        </w:rPr>
        <w:t xml:space="preserve">ý projekt. Prijímateľ podáva SO </w:t>
      </w:r>
      <w:r w:rsidRPr="00A415D8">
        <w:rPr>
          <w:rFonts w:ascii="Calibri" w:hAnsi="Calibri" w:cs="Calibri"/>
          <w:sz w:val="20"/>
        </w:rPr>
        <w:t>informácie o výške skutočne vytvorených čistých príjmov generovaných počas realizácie projektu prostredníctvom</w:t>
      </w:r>
      <w:r w:rsidR="00E0417C">
        <w:rPr>
          <w:rFonts w:ascii="Calibri" w:hAnsi="Calibri" w:cs="Calibri"/>
          <w:sz w:val="20"/>
        </w:rPr>
        <w:t xml:space="preserve"> zmeny projektu typu Monitorovanie a to počas realizácie aktivít projektu a/alebo pri ukončení realizácie projektu. </w:t>
      </w:r>
      <w:r w:rsidRPr="00A415D8">
        <w:rPr>
          <w:rFonts w:ascii="Calibri" w:hAnsi="Calibri" w:cs="Calibri"/>
          <w:sz w:val="20"/>
        </w:rPr>
        <w:t xml:space="preserve"> </w:t>
      </w:r>
      <w:bookmarkStart w:id="11" w:name="_Toc469685699"/>
    </w:p>
    <w:p w14:paraId="3F0ED369" w14:textId="1CE5AADD" w:rsidR="00B42640" w:rsidRPr="00A415D8" w:rsidRDefault="00B42640" w:rsidP="00B42640">
      <w:pPr>
        <w:keepNext/>
        <w:keepLines/>
        <w:spacing w:line="276" w:lineRule="auto"/>
        <w:jc w:val="both"/>
        <w:rPr>
          <w:rFonts w:ascii="Calibri" w:hAnsi="Calibri" w:cs="Calibri"/>
          <w:b/>
          <w:sz w:val="20"/>
          <w:u w:val="single"/>
        </w:rPr>
      </w:pPr>
      <w:r w:rsidRPr="00A415D8">
        <w:rPr>
          <w:rFonts w:ascii="Calibri" w:hAnsi="Calibri" w:cs="Calibri"/>
          <w:b/>
          <w:sz w:val="20"/>
          <w:u w:val="single"/>
        </w:rPr>
        <w:t>Projekty vy</w:t>
      </w:r>
      <w:r w:rsidR="00E167A8">
        <w:rPr>
          <w:rFonts w:ascii="Calibri" w:hAnsi="Calibri" w:cs="Calibri"/>
          <w:b/>
          <w:sz w:val="20"/>
          <w:u w:val="single"/>
        </w:rPr>
        <w:t>tvárajúce príjmy prostredníctvom štandardných peňažných príjmov</w:t>
      </w:r>
    </w:p>
    <w:p w14:paraId="20FE7DCC" w14:textId="650A3F51" w:rsidR="00E167A8" w:rsidRDefault="00B42640" w:rsidP="00E167A8">
      <w:pPr>
        <w:keepNext/>
        <w:keepLines/>
        <w:spacing w:line="276" w:lineRule="auto"/>
        <w:jc w:val="both"/>
        <w:rPr>
          <w:rFonts w:ascii="Calibri" w:hAnsi="Calibri" w:cs="Calibri"/>
          <w:sz w:val="20"/>
        </w:rPr>
      </w:pPr>
      <w:r w:rsidRPr="00A415D8">
        <w:rPr>
          <w:rFonts w:ascii="Calibri" w:hAnsi="Calibri" w:cs="Calibri"/>
          <w:sz w:val="20"/>
        </w:rPr>
        <w:t xml:space="preserve">V prípade projektov generujúcich príjem počas stanoveného referenčného obdobia, ktorých celkové oprávnené výdavky </w:t>
      </w:r>
      <w:r w:rsidRPr="00A415D8">
        <w:rPr>
          <w:rFonts w:ascii="Calibri" w:hAnsi="Calibri" w:cs="Calibri"/>
          <w:b/>
          <w:sz w:val="20"/>
        </w:rPr>
        <w:t>sú vyššie ako 1 000 000 Eur</w:t>
      </w:r>
      <w:r w:rsidRPr="00A415D8">
        <w:rPr>
          <w:rFonts w:ascii="Calibri" w:hAnsi="Calibri" w:cs="Calibri"/>
          <w:sz w:val="20"/>
        </w:rPr>
        <w:t xml:space="preserve"> sa sledovanie príjmov vzniknutých už počas realizácie projektu uvádza v</w:t>
      </w:r>
      <w:r w:rsidR="00E0417C">
        <w:rPr>
          <w:rFonts w:ascii="Calibri" w:hAnsi="Calibri" w:cs="Calibri"/>
          <w:sz w:val="20"/>
        </w:rPr>
        <w:t> </w:t>
      </w:r>
      <w:r w:rsidRPr="00A415D8">
        <w:rPr>
          <w:rFonts w:ascii="Calibri" w:hAnsi="Calibri" w:cs="Calibri"/>
          <w:sz w:val="20"/>
        </w:rPr>
        <w:t>každe</w:t>
      </w:r>
      <w:r w:rsidR="00E0417C">
        <w:rPr>
          <w:rFonts w:ascii="Calibri" w:hAnsi="Calibri" w:cs="Calibri"/>
          <w:sz w:val="20"/>
        </w:rPr>
        <w:t xml:space="preserve">j zmene projektu typu Monitorovanie počas realizácie aktivít projektu. </w:t>
      </w:r>
    </w:p>
    <w:p w14:paraId="1017CD9D" w14:textId="63B721E4" w:rsidR="00B42640" w:rsidRPr="00A415D8" w:rsidRDefault="00B42640" w:rsidP="00E167A8">
      <w:pPr>
        <w:keepNext/>
        <w:keepLines/>
        <w:spacing w:line="276" w:lineRule="auto"/>
        <w:jc w:val="both"/>
        <w:rPr>
          <w:rFonts w:ascii="Calibri" w:hAnsi="Calibri" w:cs="Calibri"/>
          <w:sz w:val="20"/>
        </w:rPr>
      </w:pPr>
      <w:r w:rsidRPr="00A415D8">
        <w:rPr>
          <w:rFonts w:ascii="Calibri" w:hAnsi="Calibri" w:cs="Calibri"/>
          <w:sz w:val="20"/>
        </w:rPr>
        <w:t xml:space="preserve">Údaje týkajúce sa príjmov projektu uvádzajú reálne hodnoty príjmov a prevádzkových výdavkov počas daného monitorovaného obdobia projektov generujúcich príjem. Ako rozdiel hodnôt príjmov a prevádzkových výdavkov sa uvedie hodnota čistých príjmov v monitorovanom období. V prípade, že sa monitorované obdobie prekrýva s posledným referenčným rokom finančnej analýzy (CBA), navýšia sa čisté príjmy o prípadnú zostatkovú hodnotu investície. V poslednom riadku sa uvedú kumulované čisté príjmy od začiatku investície. Predmetná časť </w:t>
      </w:r>
      <w:r w:rsidR="00E0417C">
        <w:rPr>
          <w:rFonts w:ascii="Calibri" w:hAnsi="Calibri" w:cs="Calibri"/>
          <w:sz w:val="20"/>
        </w:rPr>
        <w:t>zmeny projektu typu Monitorovanie</w:t>
      </w:r>
      <w:r w:rsidRPr="00A415D8">
        <w:rPr>
          <w:rFonts w:ascii="Calibri" w:hAnsi="Calibri" w:cs="Calibri"/>
          <w:sz w:val="20"/>
        </w:rPr>
        <w:t xml:space="preserve"> je relevantná predovšetkým pre posúdenie potreby </w:t>
      </w:r>
      <w:proofErr w:type="spellStart"/>
      <w:r w:rsidRPr="00A415D8">
        <w:rPr>
          <w:rFonts w:ascii="Calibri" w:hAnsi="Calibri" w:cs="Calibri"/>
          <w:sz w:val="20"/>
        </w:rPr>
        <w:t>rekalkulácie</w:t>
      </w:r>
      <w:proofErr w:type="spellEnd"/>
      <w:r w:rsidRPr="00A415D8">
        <w:rPr>
          <w:rFonts w:ascii="Calibri" w:hAnsi="Calibri" w:cs="Calibri"/>
          <w:sz w:val="20"/>
        </w:rPr>
        <w:t xml:space="preserve"> finančnej medzery a vrátenia časti NFP.</w:t>
      </w:r>
    </w:p>
    <w:p w14:paraId="0008591A" w14:textId="29799986" w:rsidR="00B42640" w:rsidRPr="00A415D8" w:rsidRDefault="00B42640" w:rsidP="00B42640">
      <w:pPr>
        <w:keepNext/>
        <w:keepLines/>
        <w:spacing w:line="276" w:lineRule="auto"/>
        <w:jc w:val="both"/>
        <w:rPr>
          <w:rFonts w:ascii="Calibri" w:hAnsi="Calibri" w:cs="Calibri"/>
          <w:sz w:val="20"/>
        </w:rPr>
      </w:pPr>
      <w:r w:rsidRPr="00A415D8">
        <w:rPr>
          <w:rFonts w:ascii="Calibri" w:hAnsi="Calibri" w:cs="Calibri"/>
          <w:sz w:val="20"/>
        </w:rPr>
        <w:t>Prijímateľ je povinný k </w:t>
      </w:r>
      <w:r w:rsidR="00E0417C">
        <w:rPr>
          <w:rFonts w:ascii="Calibri" w:hAnsi="Calibri" w:cs="Calibri"/>
          <w:sz w:val="20"/>
        </w:rPr>
        <w:t>zmene</w:t>
      </w:r>
      <w:r w:rsidRPr="00A415D8">
        <w:rPr>
          <w:rFonts w:ascii="Calibri" w:hAnsi="Calibri" w:cs="Calibri"/>
          <w:sz w:val="20"/>
        </w:rPr>
        <w:t xml:space="preserve"> projektu</w:t>
      </w:r>
      <w:r w:rsidR="00E0417C">
        <w:rPr>
          <w:rFonts w:ascii="Calibri" w:hAnsi="Calibri" w:cs="Calibri"/>
          <w:sz w:val="20"/>
        </w:rPr>
        <w:t xml:space="preserve"> typu Monitorovanie pri ukončení realizácie aktivít projektu</w:t>
      </w:r>
      <w:r w:rsidRPr="00A415D8">
        <w:rPr>
          <w:rFonts w:ascii="Calibri" w:hAnsi="Calibri" w:cs="Calibri"/>
          <w:sz w:val="20"/>
        </w:rPr>
        <w:t xml:space="preserve"> priložiť aktualizovanú CBA, v ktorej budú aktualizované aj údaje týkajúce sa príjmov projektu (relevantné, ak sú splnené všetky ostatné podmienky uvedené v tejto príručke).</w:t>
      </w:r>
      <w:bookmarkStart w:id="12" w:name="_Toc469685702"/>
    </w:p>
    <w:p w14:paraId="5B4EEED2" w14:textId="77777777" w:rsidR="00B42640" w:rsidRPr="00A415D8" w:rsidRDefault="00B42640" w:rsidP="00B42640">
      <w:pPr>
        <w:keepNext/>
        <w:keepLines/>
        <w:spacing w:line="276" w:lineRule="auto"/>
        <w:jc w:val="both"/>
        <w:rPr>
          <w:rFonts w:ascii="Calibri" w:hAnsi="Calibri" w:cs="Calibri"/>
          <w:b/>
          <w:sz w:val="20"/>
          <w:u w:val="single"/>
        </w:rPr>
      </w:pPr>
      <w:proofErr w:type="spellStart"/>
      <w:r w:rsidRPr="00A415D8">
        <w:rPr>
          <w:rFonts w:ascii="Calibri" w:hAnsi="Calibri" w:cs="Calibri"/>
          <w:b/>
          <w:sz w:val="20"/>
          <w:u w:val="single"/>
        </w:rPr>
        <w:t>Rekalkulácia</w:t>
      </w:r>
      <w:proofErr w:type="spellEnd"/>
      <w:r w:rsidRPr="00A415D8">
        <w:rPr>
          <w:rFonts w:ascii="Calibri" w:hAnsi="Calibri" w:cs="Calibri"/>
          <w:b/>
          <w:sz w:val="20"/>
          <w:u w:val="single"/>
        </w:rPr>
        <w:t xml:space="preserve"> finančnej medzery</w:t>
      </w:r>
      <w:bookmarkEnd w:id="12"/>
    </w:p>
    <w:p w14:paraId="16D59B80" w14:textId="16622FD5" w:rsidR="00B42640" w:rsidRPr="00E167A8" w:rsidRDefault="00E167A8" w:rsidP="00B42640">
      <w:pPr>
        <w:keepNext/>
        <w:keepLines/>
        <w:spacing w:line="276" w:lineRule="auto"/>
        <w:jc w:val="both"/>
        <w:rPr>
          <w:rFonts w:ascii="Calibri" w:hAnsi="Calibri" w:cs="Calibri"/>
          <w:b/>
          <w:sz w:val="20"/>
          <w:u w:val="single"/>
        </w:rPr>
      </w:pPr>
      <w:r>
        <w:rPr>
          <w:rFonts w:ascii="Calibri" w:hAnsi="Calibri" w:cs="Calibri"/>
          <w:sz w:val="20"/>
        </w:rPr>
        <w:t xml:space="preserve">Pre projekty ktorým </w:t>
      </w:r>
      <w:r w:rsidR="00B42640" w:rsidRPr="00A415D8">
        <w:rPr>
          <w:rFonts w:ascii="Calibri" w:hAnsi="Calibri" w:cs="Calibri"/>
          <w:sz w:val="20"/>
        </w:rPr>
        <w:t>príjmy bolo možné</w:t>
      </w:r>
      <w:r>
        <w:rPr>
          <w:rFonts w:ascii="Calibri" w:hAnsi="Calibri" w:cs="Calibri"/>
          <w:sz w:val="20"/>
        </w:rPr>
        <w:t xml:space="preserve"> odhadnúť pri príprave projektu</w:t>
      </w:r>
      <w:r w:rsidR="00B42640" w:rsidRPr="00A415D8">
        <w:rPr>
          <w:rFonts w:ascii="Calibri" w:hAnsi="Calibri" w:cs="Calibri"/>
          <w:sz w:val="20"/>
        </w:rPr>
        <w:t xml:space="preserve">, sa </w:t>
      </w:r>
      <w:proofErr w:type="spellStart"/>
      <w:r w:rsidR="00B42640" w:rsidRPr="00A415D8">
        <w:rPr>
          <w:rFonts w:ascii="Calibri" w:hAnsi="Calibri" w:cs="Calibri"/>
          <w:sz w:val="20"/>
        </w:rPr>
        <w:t>rekalkulácia</w:t>
      </w:r>
      <w:proofErr w:type="spellEnd"/>
      <w:r w:rsidR="00B42640" w:rsidRPr="00A415D8">
        <w:rPr>
          <w:rFonts w:ascii="Calibri" w:hAnsi="Calibri" w:cs="Calibri"/>
          <w:sz w:val="20"/>
        </w:rPr>
        <w:t xml:space="preserve"> finančnej medzery vyžaduje v prípadoch </w:t>
      </w:r>
      <w:r w:rsidR="00B42640" w:rsidRPr="00A415D8">
        <w:rPr>
          <w:rFonts w:ascii="Calibri" w:hAnsi="Calibri" w:cs="Calibri"/>
          <w:b/>
          <w:sz w:val="20"/>
          <w:u w:val="single"/>
        </w:rPr>
        <w:t>výraznej zmeny podmienok, ktorá nastane v prípade:</w:t>
      </w:r>
    </w:p>
    <w:p w14:paraId="1BBB2C2F" w14:textId="77777777" w:rsidR="00B42640" w:rsidRPr="00A415D8" w:rsidRDefault="00B42640" w:rsidP="00B42640">
      <w:pPr>
        <w:keepNext/>
        <w:keepLines/>
        <w:numPr>
          <w:ilvl w:val="1"/>
          <w:numId w:val="38"/>
        </w:numPr>
        <w:spacing w:after="0" w:line="276" w:lineRule="auto"/>
        <w:jc w:val="both"/>
        <w:rPr>
          <w:rFonts w:ascii="Calibri" w:hAnsi="Calibri" w:cs="Calibri"/>
          <w:sz w:val="20"/>
        </w:rPr>
      </w:pPr>
      <w:r w:rsidRPr="00A415D8">
        <w:rPr>
          <w:rFonts w:ascii="Calibri" w:hAnsi="Calibri" w:cs="Calibri"/>
          <w:sz w:val="20"/>
        </w:rPr>
        <w:t xml:space="preserve">ak sú identifikované </w:t>
      </w:r>
      <w:r w:rsidRPr="00A415D8">
        <w:rPr>
          <w:rFonts w:ascii="Calibri" w:hAnsi="Calibri" w:cs="Calibri"/>
          <w:i/>
          <w:sz w:val="20"/>
        </w:rPr>
        <w:t>nové zdroje príjmov</w:t>
      </w:r>
      <w:r w:rsidRPr="00A415D8">
        <w:rPr>
          <w:rFonts w:ascii="Calibri" w:hAnsi="Calibri" w:cs="Calibri"/>
          <w:sz w:val="20"/>
        </w:rPr>
        <w:t xml:space="preserve"> generované projektom, ktoré neboli zohľadnené  pri kalkulácii finančnej medzery ex </w:t>
      </w:r>
      <w:proofErr w:type="spellStart"/>
      <w:r w:rsidRPr="00A415D8">
        <w:rPr>
          <w:rFonts w:ascii="Calibri" w:hAnsi="Calibri" w:cs="Calibri"/>
          <w:sz w:val="20"/>
        </w:rPr>
        <w:t>ante</w:t>
      </w:r>
      <w:proofErr w:type="spellEnd"/>
      <w:r w:rsidRPr="00A415D8">
        <w:rPr>
          <w:rFonts w:ascii="Calibri" w:hAnsi="Calibri" w:cs="Calibri"/>
          <w:sz w:val="20"/>
        </w:rPr>
        <w:t xml:space="preserve"> (napr. nespoplatnená cesta, na ktorej sa začalo vyberať mýto neskôr alebo sa vyskytol prenájom priestorov a služieb), </w:t>
      </w:r>
    </w:p>
    <w:p w14:paraId="769AC0C4" w14:textId="77777777" w:rsidR="00B42640" w:rsidRPr="00A415D8" w:rsidRDefault="00B42640" w:rsidP="00B42640">
      <w:pPr>
        <w:keepNext/>
        <w:keepLines/>
        <w:numPr>
          <w:ilvl w:val="1"/>
          <w:numId w:val="38"/>
        </w:numPr>
        <w:spacing w:after="0" w:line="276" w:lineRule="auto"/>
        <w:jc w:val="both"/>
        <w:rPr>
          <w:rFonts w:ascii="Calibri" w:hAnsi="Calibri" w:cs="Calibri"/>
          <w:sz w:val="20"/>
        </w:rPr>
      </w:pPr>
      <w:r w:rsidRPr="00A415D8">
        <w:rPr>
          <w:rFonts w:ascii="Calibri" w:hAnsi="Calibri" w:cs="Calibri"/>
          <w:sz w:val="20"/>
        </w:rPr>
        <w:t xml:space="preserve">dochádza k </w:t>
      </w:r>
      <w:r w:rsidRPr="00A415D8">
        <w:rPr>
          <w:rFonts w:ascii="Calibri" w:hAnsi="Calibri" w:cs="Calibri"/>
          <w:i/>
          <w:sz w:val="20"/>
        </w:rPr>
        <w:t>podstatným zmenám v tarifnej politike</w:t>
      </w:r>
      <w:r w:rsidRPr="00A415D8">
        <w:rPr>
          <w:rFonts w:ascii="Calibri" w:hAnsi="Calibri" w:cs="Calibri"/>
          <w:sz w:val="20"/>
        </w:rPr>
        <w:t xml:space="preserve"> (napr. výrazná zmena taríf za používanie ciest), ktorá vyžaduje prepočet finančnej medzery – za podstatnú zmenu sa považuje navýšenie cien/taríf o </w:t>
      </w:r>
      <w:r w:rsidRPr="00A415D8">
        <w:rPr>
          <w:rFonts w:ascii="Calibri" w:hAnsi="Calibri" w:cs="Calibri"/>
          <w:b/>
          <w:sz w:val="20"/>
        </w:rPr>
        <w:t>viac ako 10 %</w:t>
      </w:r>
      <w:r w:rsidRPr="00A415D8">
        <w:rPr>
          <w:rFonts w:ascii="Calibri" w:hAnsi="Calibri" w:cs="Calibri"/>
          <w:sz w:val="20"/>
        </w:rPr>
        <w:t>.</w:t>
      </w:r>
    </w:p>
    <w:p w14:paraId="29E21A2A" w14:textId="77777777" w:rsidR="00B42640" w:rsidRPr="00A415D8" w:rsidRDefault="00B42640" w:rsidP="00B42640">
      <w:pPr>
        <w:keepNext/>
        <w:keepLines/>
        <w:spacing w:line="276" w:lineRule="auto"/>
        <w:jc w:val="both"/>
        <w:rPr>
          <w:rFonts w:ascii="Calibri" w:hAnsi="Calibri" w:cs="Calibri"/>
          <w:sz w:val="20"/>
        </w:rPr>
      </w:pPr>
    </w:p>
    <w:tbl>
      <w:tblPr>
        <w:tblStyle w:val="Mriekatabuky"/>
        <w:tblW w:w="0" w:type="auto"/>
        <w:shd w:val="clear" w:color="auto" w:fill="F2F2F2"/>
        <w:tblLook w:val="04A0" w:firstRow="1" w:lastRow="0" w:firstColumn="1" w:lastColumn="0" w:noHBand="0" w:noVBand="1"/>
      </w:tblPr>
      <w:tblGrid>
        <w:gridCol w:w="9060"/>
      </w:tblGrid>
      <w:tr w:rsidR="00B42640" w:rsidRPr="00A415D8" w14:paraId="60E4370D" w14:textId="77777777" w:rsidTr="00625476">
        <w:tc>
          <w:tcPr>
            <w:tcW w:w="9060" w:type="dxa"/>
            <w:tcBorders>
              <w:top w:val="single" w:sz="12" w:space="0" w:color="00A1DE"/>
              <w:left w:val="single" w:sz="12" w:space="0" w:color="00A1DE"/>
              <w:bottom w:val="single" w:sz="12" w:space="0" w:color="00A1DE"/>
              <w:right w:val="single" w:sz="12" w:space="0" w:color="00A1DE"/>
            </w:tcBorders>
            <w:shd w:val="clear" w:color="auto" w:fill="F2F2F2"/>
          </w:tcPr>
          <w:p w14:paraId="62127394" w14:textId="77777777" w:rsidR="00B42640" w:rsidRPr="00A415D8" w:rsidRDefault="00B42640" w:rsidP="00FA1302">
            <w:pPr>
              <w:keepNext/>
              <w:keepLines/>
              <w:spacing w:line="276" w:lineRule="auto"/>
              <w:ind w:left="0"/>
              <w:jc w:val="both"/>
              <w:rPr>
                <w:rFonts w:ascii="Calibri" w:hAnsi="Calibri" w:cs="Calibri"/>
                <w:i/>
                <w:lang w:val="en-US"/>
              </w:rPr>
            </w:pPr>
            <w:proofErr w:type="spellStart"/>
            <w:r w:rsidRPr="00A415D8">
              <w:rPr>
                <w:rFonts w:ascii="Calibri" w:hAnsi="Calibri" w:cs="Calibri"/>
                <w:i/>
                <w:lang w:val="en-US"/>
              </w:rPr>
              <w:t>Ak</w:t>
            </w:r>
            <w:proofErr w:type="spellEnd"/>
            <w:r w:rsidRPr="00A415D8">
              <w:rPr>
                <w:rFonts w:ascii="Calibri" w:hAnsi="Calibri" w:cs="Calibri"/>
                <w:i/>
                <w:lang w:val="en-US"/>
              </w:rPr>
              <w:t xml:space="preserve"> </w:t>
            </w:r>
            <w:proofErr w:type="spellStart"/>
            <w:r w:rsidRPr="00A415D8">
              <w:rPr>
                <w:rFonts w:ascii="Calibri" w:hAnsi="Calibri" w:cs="Calibri"/>
                <w:i/>
                <w:lang w:val="en-US"/>
              </w:rPr>
              <w:t>vzniknú</w:t>
            </w:r>
            <w:proofErr w:type="spellEnd"/>
            <w:r w:rsidRPr="00A415D8">
              <w:rPr>
                <w:rFonts w:ascii="Calibri" w:hAnsi="Calibri" w:cs="Calibri"/>
                <w:i/>
                <w:lang w:val="en-US"/>
              </w:rPr>
              <w:t xml:space="preserve"> </w:t>
            </w:r>
            <w:proofErr w:type="spellStart"/>
            <w:r w:rsidRPr="00A415D8">
              <w:rPr>
                <w:rFonts w:ascii="Calibri" w:hAnsi="Calibri" w:cs="Calibri"/>
                <w:i/>
                <w:lang w:val="en-US"/>
              </w:rPr>
              <w:t>rozdiely</w:t>
            </w:r>
            <w:proofErr w:type="spellEnd"/>
            <w:r w:rsidRPr="00A415D8">
              <w:rPr>
                <w:rFonts w:ascii="Calibri" w:hAnsi="Calibri" w:cs="Calibri"/>
                <w:i/>
                <w:lang w:val="en-US"/>
              </w:rPr>
              <w:t xml:space="preserve"> </w:t>
            </w:r>
            <w:proofErr w:type="spellStart"/>
            <w:r w:rsidRPr="00A415D8">
              <w:rPr>
                <w:rFonts w:ascii="Calibri" w:hAnsi="Calibri" w:cs="Calibri"/>
                <w:i/>
                <w:lang w:val="en-US"/>
              </w:rPr>
              <w:t>medzi</w:t>
            </w:r>
            <w:proofErr w:type="spellEnd"/>
            <w:r w:rsidRPr="00A415D8">
              <w:rPr>
                <w:rFonts w:ascii="Calibri" w:hAnsi="Calibri" w:cs="Calibri"/>
                <w:i/>
                <w:lang w:val="en-US"/>
              </w:rPr>
              <w:t xml:space="preserve"> </w:t>
            </w:r>
            <w:proofErr w:type="spellStart"/>
            <w:r w:rsidRPr="00A415D8">
              <w:rPr>
                <w:rFonts w:ascii="Calibri" w:hAnsi="Calibri" w:cs="Calibri"/>
                <w:i/>
                <w:lang w:val="en-US"/>
              </w:rPr>
              <w:t>vopred</w:t>
            </w:r>
            <w:proofErr w:type="spellEnd"/>
            <w:r w:rsidRPr="00A415D8">
              <w:rPr>
                <w:rFonts w:ascii="Calibri" w:hAnsi="Calibri" w:cs="Calibri"/>
                <w:i/>
                <w:lang w:val="en-US"/>
              </w:rPr>
              <w:t xml:space="preserve"> </w:t>
            </w:r>
            <w:proofErr w:type="spellStart"/>
            <w:r w:rsidRPr="00A415D8">
              <w:rPr>
                <w:rFonts w:ascii="Calibri" w:hAnsi="Calibri" w:cs="Calibri"/>
                <w:i/>
                <w:lang w:val="en-US"/>
              </w:rPr>
              <w:t>odhadnutými</w:t>
            </w:r>
            <w:proofErr w:type="spellEnd"/>
            <w:r w:rsidRPr="00A415D8">
              <w:rPr>
                <w:rFonts w:ascii="Calibri" w:hAnsi="Calibri" w:cs="Calibri"/>
                <w:i/>
                <w:lang w:val="en-US"/>
              </w:rPr>
              <w:t xml:space="preserve"> </w:t>
            </w:r>
            <w:proofErr w:type="spellStart"/>
            <w:r w:rsidRPr="00A415D8">
              <w:rPr>
                <w:rFonts w:ascii="Calibri" w:hAnsi="Calibri" w:cs="Calibri"/>
                <w:i/>
                <w:lang w:val="en-US"/>
              </w:rPr>
              <w:t>príjmami</w:t>
            </w:r>
            <w:proofErr w:type="spellEnd"/>
            <w:r w:rsidRPr="00A415D8">
              <w:rPr>
                <w:rFonts w:ascii="Calibri" w:hAnsi="Calibri" w:cs="Calibri"/>
                <w:i/>
                <w:lang w:val="en-US"/>
              </w:rPr>
              <w:t xml:space="preserve"> ex ante a </w:t>
            </w:r>
            <w:proofErr w:type="spellStart"/>
            <w:r w:rsidRPr="00A415D8">
              <w:rPr>
                <w:rFonts w:ascii="Calibri" w:hAnsi="Calibri" w:cs="Calibri"/>
                <w:i/>
                <w:lang w:val="en-US"/>
              </w:rPr>
              <w:t>príjmami</w:t>
            </w:r>
            <w:proofErr w:type="spellEnd"/>
            <w:r w:rsidRPr="00A415D8">
              <w:rPr>
                <w:rFonts w:ascii="Calibri" w:hAnsi="Calibri" w:cs="Calibri"/>
                <w:i/>
                <w:lang w:val="en-US"/>
              </w:rPr>
              <w:t xml:space="preserve">, </w:t>
            </w:r>
            <w:proofErr w:type="spellStart"/>
            <w:r w:rsidRPr="00A415D8">
              <w:rPr>
                <w:rFonts w:ascii="Calibri" w:hAnsi="Calibri" w:cs="Calibri"/>
                <w:i/>
                <w:lang w:val="en-US"/>
              </w:rPr>
              <w:t>ktoré</w:t>
            </w:r>
            <w:proofErr w:type="spellEnd"/>
            <w:r w:rsidRPr="00A415D8">
              <w:rPr>
                <w:rFonts w:ascii="Calibri" w:hAnsi="Calibri" w:cs="Calibri"/>
                <w:i/>
                <w:lang w:val="en-US"/>
              </w:rPr>
              <w:t xml:space="preserve"> </w:t>
            </w:r>
            <w:proofErr w:type="spellStart"/>
            <w:r w:rsidRPr="00A415D8">
              <w:rPr>
                <w:rFonts w:ascii="Calibri" w:hAnsi="Calibri" w:cs="Calibri"/>
                <w:i/>
                <w:lang w:val="en-US"/>
              </w:rPr>
              <w:t>boli</w:t>
            </w:r>
            <w:proofErr w:type="spellEnd"/>
            <w:r w:rsidRPr="00A415D8">
              <w:rPr>
                <w:rFonts w:ascii="Calibri" w:hAnsi="Calibri" w:cs="Calibri"/>
                <w:i/>
                <w:lang w:val="en-US"/>
              </w:rPr>
              <w:t xml:space="preserve"> </w:t>
            </w:r>
            <w:proofErr w:type="spellStart"/>
            <w:r w:rsidRPr="00A415D8">
              <w:rPr>
                <w:rFonts w:ascii="Calibri" w:hAnsi="Calibri" w:cs="Calibri"/>
                <w:i/>
                <w:lang w:val="en-US"/>
              </w:rPr>
              <w:t>nakoniec</w:t>
            </w:r>
            <w:proofErr w:type="spellEnd"/>
            <w:r w:rsidRPr="00A415D8">
              <w:rPr>
                <w:rFonts w:ascii="Calibri" w:hAnsi="Calibri" w:cs="Calibri"/>
                <w:i/>
                <w:lang w:val="en-US"/>
              </w:rPr>
              <w:t xml:space="preserve"> </w:t>
            </w:r>
            <w:proofErr w:type="spellStart"/>
            <w:r w:rsidRPr="00A415D8">
              <w:rPr>
                <w:rFonts w:ascii="Calibri" w:hAnsi="Calibri" w:cs="Calibri"/>
                <w:i/>
                <w:lang w:val="en-US"/>
              </w:rPr>
              <w:t>realizované</w:t>
            </w:r>
            <w:proofErr w:type="spellEnd"/>
            <w:r w:rsidRPr="00A415D8">
              <w:rPr>
                <w:rFonts w:ascii="Calibri" w:hAnsi="Calibri" w:cs="Calibri"/>
                <w:i/>
                <w:lang w:val="en-US"/>
              </w:rPr>
              <w:t xml:space="preserve"> a </w:t>
            </w:r>
            <w:proofErr w:type="spellStart"/>
            <w:r w:rsidRPr="00A415D8">
              <w:rPr>
                <w:rFonts w:ascii="Calibri" w:hAnsi="Calibri" w:cs="Calibri"/>
                <w:i/>
                <w:lang w:val="en-US"/>
              </w:rPr>
              <w:t>jedná</w:t>
            </w:r>
            <w:proofErr w:type="spellEnd"/>
            <w:r w:rsidRPr="00A415D8">
              <w:rPr>
                <w:rFonts w:ascii="Calibri" w:hAnsi="Calibri" w:cs="Calibri"/>
                <w:i/>
                <w:lang w:val="en-US"/>
              </w:rPr>
              <w:t xml:space="preserve"> </w:t>
            </w:r>
            <w:proofErr w:type="spellStart"/>
            <w:r w:rsidRPr="00A415D8">
              <w:rPr>
                <w:rFonts w:ascii="Calibri" w:hAnsi="Calibri" w:cs="Calibri"/>
                <w:i/>
                <w:lang w:val="en-US"/>
              </w:rPr>
              <w:t>sa</w:t>
            </w:r>
            <w:proofErr w:type="spellEnd"/>
            <w:r w:rsidRPr="00A415D8">
              <w:rPr>
                <w:rFonts w:ascii="Calibri" w:hAnsi="Calibri" w:cs="Calibri"/>
                <w:i/>
                <w:lang w:val="en-US"/>
              </w:rPr>
              <w:t xml:space="preserve"> o tie </w:t>
            </w:r>
            <w:proofErr w:type="spellStart"/>
            <w:r w:rsidRPr="00A415D8">
              <w:rPr>
                <w:rFonts w:ascii="Calibri" w:hAnsi="Calibri" w:cs="Calibri"/>
                <w:i/>
                <w:lang w:val="en-US"/>
              </w:rPr>
              <w:t>isté</w:t>
            </w:r>
            <w:proofErr w:type="spellEnd"/>
            <w:r w:rsidRPr="00A415D8">
              <w:rPr>
                <w:rFonts w:ascii="Calibri" w:hAnsi="Calibri" w:cs="Calibri"/>
                <w:i/>
                <w:lang w:val="en-US"/>
              </w:rPr>
              <w:t xml:space="preserve"> </w:t>
            </w:r>
            <w:proofErr w:type="spellStart"/>
            <w:r w:rsidRPr="00A415D8">
              <w:rPr>
                <w:rFonts w:ascii="Calibri" w:hAnsi="Calibri" w:cs="Calibri"/>
                <w:i/>
                <w:lang w:val="en-US"/>
              </w:rPr>
              <w:t>zdroje</w:t>
            </w:r>
            <w:proofErr w:type="spellEnd"/>
            <w:r w:rsidRPr="00A415D8">
              <w:rPr>
                <w:rFonts w:ascii="Calibri" w:hAnsi="Calibri" w:cs="Calibri"/>
                <w:i/>
                <w:lang w:val="en-US"/>
              </w:rPr>
              <w:t xml:space="preserve"> </w:t>
            </w:r>
            <w:proofErr w:type="spellStart"/>
            <w:r w:rsidRPr="00A415D8">
              <w:rPr>
                <w:rFonts w:ascii="Calibri" w:hAnsi="Calibri" w:cs="Calibri"/>
                <w:i/>
                <w:lang w:val="en-US"/>
              </w:rPr>
              <w:t>príjmov</w:t>
            </w:r>
            <w:proofErr w:type="spellEnd"/>
            <w:r w:rsidRPr="00A415D8">
              <w:rPr>
                <w:rFonts w:ascii="Calibri" w:hAnsi="Calibri" w:cs="Calibri"/>
                <w:i/>
                <w:lang w:val="en-US"/>
              </w:rPr>
              <w:t xml:space="preserve">, </w:t>
            </w:r>
            <w:proofErr w:type="spellStart"/>
            <w:r w:rsidRPr="00A415D8">
              <w:rPr>
                <w:rFonts w:ascii="Calibri" w:hAnsi="Calibri" w:cs="Calibri"/>
                <w:i/>
                <w:lang w:val="en-US"/>
              </w:rPr>
              <w:t>ktoré</w:t>
            </w:r>
            <w:proofErr w:type="spellEnd"/>
            <w:r w:rsidRPr="00A415D8">
              <w:rPr>
                <w:rFonts w:ascii="Calibri" w:hAnsi="Calibri" w:cs="Calibri"/>
                <w:i/>
                <w:lang w:val="en-US"/>
              </w:rPr>
              <w:t xml:space="preserve"> </w:t>
            </w:r>
            <w:proofErr w:type="spellStart"/>
            <w:r w:rsidRPr="00A415D8">
              <w:rPr>
                <w:rFonts w:ascii="Calibri" w:hAnsi="Calibri" w:cs="Calibri"/>
                <w:i/>
                <w:lang w:val="en-US"/>
              </w:rPr>
              <w:t>vstupovali</w:t>
            </w:r>
            <w:proofErr w:type="spellEnd"/>
            <w:r w:rsidRPr="00A415D8">
              <w:rPr>
                <w:rFonts w:ascii="Calibri" w:hAnsi="Calibri" w:cs="Calibri"/>
                <w:i/>
                <w:lang w:val="en-US"/>
              </w:rPr>
              <w:t xml:space="preserve"> do </w:t>
            </w:r>
            <w:proofErr w:type="spellStart"/>
            <w:r w:rsidRPr="00A415D8">
              <w:rPr>
                <w:rFonts w:ascii="Calibri" w:hAnsi="Calibri" w:cs="Calibri"/>
                <w:i/>
                <w:lang w:val="en-US"/>
              </w:rPr>
              <w:t>výpočtu</w:t>
            </w:r>
            <w:proofErr w:type="spellEnd"/>
            <w:r w:rsidRPr="00A415D8">
              <w:rPr>
                <w:rFonts w:ascii="Calibri" w:hAnsi="Calibri" w:cs="Calibri"/>
                <w:i/>
                <w:lang w:val="en-US"/>
              </w:rPr>
              <w:t xml:space="preserve"> </w:t>
            </w:r>
            <w:proofErr w:type="spellStart"/>
            <w:r w:rsidRPr="00A415D8">
              <w:rPr>
                <w:rFonts w:ascii="Calibri" w:hAnsi="Calibri" w:cs="Calibri"/>
                <w:i/>
                <w:lang w:val="en-US"/>
              </w:rPr>
              <w:t>finančnej</w:t>
            </w:r>
            <w:proofErr w:type="spellEnd"/>
            <w:r w:rsidRPr="00A415D8">
              <w:rPr>
                <w:rFonts w:ascii="Calibri" w:hAnsi="Calibri" w:cs="Calibri"/>
                <w:i/>
                <w:lang w:val="en-US"/>
              </w:rPr>
              <w:t xml:space="preserve"> </w:t>
            </w:r>
            <w:proofErr w:type="spellStart"/>
            <w:r w:rsidRPr="00A415D8">
              <w:rPr>
                <w:rFonts w:ascii="Calibri" w:hAnsi="Calibri" w:cs="Calibri"/>
                <w:i/>
                <w:lang w:val="en-US"/>
              </w:rPr>
              <w:t>medzery</w:t>
            </w:r>
            <w:proofErr w:type="spellEnd"/>
            <w:r w:rsidRPr="00A415D8">
              <w:rPr>
                <w:rFonts w:ascii="Calibri" w:hAnsi="Calibri" w:cs="Calibri"/>
                <w:i/>
                <w:lang w:val="en-US"/>
              </w:rPr>
              <w:t xml:space="preserve"> ex ante, </w:t>
            </w:r>
            <w:proofErr w:type="spellStart"/>
            <w:r w:rsidRPr="00A415D8">
              <w:rPr>
                <w:rFonts w:ascii="Calibri" w:hAnsi="Calibri" w:cs="Calibri"/>
                <w:i/>
                <w:lang w:val="en-US"/>
              </w:rPr>
              <w:t>nevyžaduje</w:t>
            </w:r>
            <w:proofErr w:type="spellEnd"/>
            <w:r w:rsidRPr="00A415D8">
              <w:rPr>
                <w:rFonts w:ascii="Calibri" w:hAnsi="Calibri" w:cs="Calibri"/>
                <w:i/>
                <w:lang w:val="en-US"/>
              </w:rPr>
              <w:t xml:space="preserve"> </w:t>
            </w:r>
            <w:proofErr w:type="spellStart"/>
            <w:r w:rsidRPr="00A415D8">
              <w:rPr>
                <w:rFonts w:ascii="Calibri" w:hAnsi="Calibri" w:cs="Calibri"/>
                <w:i/>
                <w:lang w:val="en-US"/>
              </w:rPr>
              <w:t>sa</w:t>
            </w:r>
            <w:proofErr w:type="spellEnd"/>
            <w:r w:rsidRPr="00A415D8">
              <w:rPr>
                <w:rFonts w:ascii="Calibri" w:hAnsi="Calibri" w:cs="Calibri"/>
                <w:i/>
                <w:lang w:val="en-US"/>
              </w:rPr>
              <w:t xml:space="preserve"> </w:t>
            </w:r>
            <w:proofErr w:type="spellStart"/>
            <w:r w:rsidRPr="00A415D8">
              <w:rPr>
                <w:rFonts w:ascii="Calibri" w:hAnsi="Calibri" w:cs="Calibri"/>
                <w:i/>
                <w:lang w:val="en-US"/>
              </w:rPr>
              <w:t>rekalkulácia</w:t>
            </w:r>
            <w:proofErr w:type="spellEnd"/>
            <w:r w:rsidRPr="00A415D8">
              <w:rPr>
                <w:rFonts w:ascii="Calibri" w:hAnsi="Calibri" w:cs="Calibri"/>
                <w:i/>
                <w:lang w:val="en-US"/>
              </w:rPr>
              <w:t xml:space="preserve"> </w:t>
            </w:r>
            <w:proofErr w:type="spellStart"/>
            <w:r w:rsidRPr="00A415D8">
              <w:rPr>
                <w:rFonts w:ascii="Calibri" w:hAnsi="Calibri" w:cs="Calibri"/>
                <w:i/>
                <w:lang w:val="en-US"/>
              </w:rPr>
              <w:t>finančnej</w:t>
            </w:r>
            <w:proofErr w:type="spellEnd"/>
            <w:r w:rsidRPr="00A415D8">
              <w:rPr>
                <w:rFonts w:ascii="Calibri" w:hAnsi="Calibri" w:cs="Calibri"/>
                <w:i/>
                <w:lang w:val="en-US"/>
              </w:rPr>
              <w:t xml:space="preserve"> </w:t>
            </w:r>
            <w:proofErr w:type="spellStart"/>
            <w:r w:rsidRPr="00A415D8">
              <w:rPr>
                <w:rFonts w:ascii="Calibri" w:hAnsi="Calibri" w:cs="Calibri"/>
                <w:i/>
                <w:lang w:val="en-US"/>
              </w:rPr>
              <w:t>medzery</w:t>
            </w:r>
            <w:proofErr w:type="spellEnd"/>
            <w:r w:rsidRPr="00A415D8">
              <w:rPr>
                <w:rFonts w:ascii="Calibri" w:hAnsi="Calibri" w:cs="Calibri"/>
                <w:i/>
                <w:lang w:val="en-US"/>
              </w:rPr>
              <w:t>.</w:t>
            </w:r>
          </w:p>
          <w:p w14:paraId="78E8E90D" w14:textId="77777777" w:rsidR="00B42640" w:rsidRPr="00A415D8" w:rsidRDefault="00B42640" w:rsidP="00625476">
            <w:pPr>
              <w:keepNext/>
              <w:keepLines/>
              <w:spacing w:line="276" w:lineRule="auto"/>
              <w:jc w:val="both"/>
              <w:rPr>
                <w:rFonts w:ascii="Calibri" w:hAnsi="Calibri" w:cs="Calibri"/>
                <w:i/>
                <w:lang w:val="en-US"/>
              </w:rPr>
            </w:pPr>
          </w:p>
          <w:p w14:paraId="1A419455" w14:textId="77777777" w:rsidR="00B42640" w:rsidRPr="00A415D8" w:rsidRDefault="00B42640" w:rsidP="00FA1302">
            <w:pPr>
              <w:keepNext/>
              <w:keepLines/>
              <w:spacing w:line="276" w:lineRule="auto"/>
              <w:ind w:left="0"/>
              <w:jc w:val="both"/>
              <w:rPr>
                <w:rFonts w:ascii="Calibri" w:hAnsi="Calibri" w:cs="Calibri"/>
                <w:lang w:val="en-US"/>
              </w:rPr>
            </w:pPr>
            <w:proofErr w:type="spellStart"/>
            <w:r w:rsidRPr="00A415D8">
              <w:rPr>
                <w:rFonts w:ascii="Calibri" w:hAnsi="Calibri" w:cs="Calibri"/>
                <w:i/>
                <w:lang w:val="en-US"/>
              </w:rPr>
              <w:t>Zmeny</w:t>
            </w:r>
            <w:proofErr w:type="spellEnd"/>
            <w:r w:rsidRPr="00A415D8">
              <w:rPr>
                <w:rFonts w:ascii="Calibri" w:hAnsi="Calibri" w:cs="Calibri"/>
                <w:i/>
                <w:lang w:val="en-US"/>
              </w:rPr>
              <w:t xml:space="preserve"> v </w:t>
            </w:r>
            <w:proofErr w:type="spellStart"/>
            <w:r w:rsidRPr="00A415D8">
              <w:rPr>
                <w:rFonts w:ascii="Calibri" w:hAnsi="Calibri" w:cs="Calibri"/>
                <w:i/>
                <w:lang w:val="en-US"/>
              </w:rPr>
              <w:t>dopyte</w:t>
            </w:r>
            <w:proofErr w:type="spellEnd"/>
            <w:r w:rsidRPr="00A415D8">
              <w:rPr>
                <w:rFonts w:ascii="Calibri" w:hAnsi="Calibri" w:cs="Calibri"/>
                <w:i/>
                <w:lang w:val="en-US"/>
              </w:rPr>
              <w:t xml:space="preserve"> </w:t>
            </w:r>
            <w:proofErr w:type="spellStart"/>
            <w:r w:rsidRPr="00A415D8">
              <w:rPr>
                <w:rFonts w:ascii="Calibri" w:hAnsi="Calibri" w:cs="Calibri"/>
                <w:i/>
                <w:lang w:val="en-US"/>
              </w:rPr>
              <w:t>alebo</w:t>
            </w:r>
            <w:proofErr w:type="spellEnd"/>
            <w:r w:rsidRPr="00A415D8">
              <w:rPr>
                <w:rFonts w:ascii="Calibri" w:hAnsi="Calibri" w:cs="Calibri"/>
                <w:i/>
                <w:lang w:val="en-US"/>
              </w:rPr>
              <w:t xml:space="preserve"> </w:t>
            </w:r>
            <w:proofErr w:type="spellStart"/>
            <w:r w:rsidRPr="00A415D8">
              <w:rPr>
                <w:rFonts w:ascii="Calibri" w:hAnsi="Calibri" w:cs="Calibri"/>
                <w:i/>
                <w:lang w:val="en-US"/>
              </w:rPr>
              <w:t>iných</w:t>
            </w:r>
            <w:proofErr w:type="spellEnd"/>
            <w:r w:rsidRPr="00A415D8">
              <w:rPr>
                <w:rFonts w:ascii="Calibri" w:hAnsi="Calibri" w:cs="Calibri"/>
                <w:i/>
                <w:lang w:val="en-US"/>
              </w:rPr>
              <w:t xml:space="preserve"> </w:t>
            </w:r>
            <w:proofErr w:type="spellStart"/>
            <w:r w:rsidRPr="00A415D8">
              <w:rPr>
                <w:rFonts w:ascii="Calibri" w:hAnsi="Calibri" w:cs="Calibri"/>
                <w:i/>
                <w:lang w:val="en-US"/>
              </w:rPr>
              <w:t>externých</w:t>
            </w:r>
            <w:proofErr w:type="spellEnd"/>
            <w:r w:rsidRPr="00A415D8">
              <w:rPr>
                <w:rFonts w:ascii="Calibri" w:hAnsi="Calibri" w:cs="Calibri"/>
                <w:i/>
                <w:lang w:val="en-US"/>
              </w:rPr>
              <w:t xml:space="preserve"> </w:t>
            </w:r>
            <w:proofErr w:type="spellStart"/>
            <w:r w:rsidRPr="00A415D8">
              <w:rPr>
                <w:rFonts w:ascii="Calibri" w:hAnsi="Calibri" w:cs="Calibri"/>
                <w:i/>
                <w:lang w:val="en-US"/>
              </w:rPr>
              <w:t>ekonomických</w:t>
            </w:r>
            <w:proofErr w:type="spellEnd"/>
            <w:r w:rsidRPr="00A415D8">
              <w:rPr>
                <w:rFonts w:ascii="Calibri" w:hAnsi="Calibri" w:cs="Calibri"/>
                <w:i/>
                <w:lang w:val="en-US"/>
              </w:rPr>
              <w:t xml:space="preserve"> </w:t>
            </w:r>
            <w:proofErr w:type="spellStart"/>
            <w:r w:rsidRPr="00A415D8">
              <w:rPr>
                <w:rFonts w:ascii="Calibri" w:hAnsi="Calibri" w:cs="Calibri"/>
                <w:i/>
                <w:lang w:val="en-US"/>
              </w:rPr>
              <w:t>faktoroch</w:t>
            </w:r>
            <w:proofErr w:type="spellEnd"/>
            <w:r w:rsidRPr="00A415D8">
              <w:rPr>
                <w:rFonts w:ascii="Calibri" w:hAnsi="Calibri" w:cs="Calibri"/>
                <w:i/>
                <w:lang w:val="en-US"/>
              </w:rPr>
              <w:t xml:space="preserve"> (</w:t>
            </w:r>
            <w:proofErr w:type="spellStart"/>
            <w:r w:rsidRPr="00A415D8">
              <w:rPr>
                <w:rFonts w:ascii="Calibri" w:hAnsi="Calibri" w:cs="Calibri"/>
                <w:i/>
                <w:lang w:val="en-US"/>
              </w:rPr>
              <w:t>napr</w:t>
            </w:r>
            <w:proofErr w:type="spellEnd"/>
            <w:r w:rsidRPr="00A415D8">
              <w:rPr>
                <w:rFonts w:ascii="Calibri" w:hAnsi="Calibri" w:cs="Calibri"/>
                <w:i/>
                <w:lang w:val="en-US"/>
              </w:rPr>
              <w:t xml:space="preserve">. </w:t>
            </w:r>
            <w:proofErr w:type="spellStart"/>
            <w:r w:rsidRPr="00A415D8">
              <w:rPr>
                <w:rFonts w:ascii="Calibri" w:hAnsi="Calibri" w:cs="Calibri"/>
                <w:i/>
                <w:lang w:val="en-US"/>
              </w:rPr>
              <w:t>nepredvídateľná</w:t>
            </w:r>
            <w:proofErr w:type="spellEnd"/>
            <w:r w:rsidRPr="00A415D8">
              <w:rPr>
                <w:rFonts w:ascii="Calibri" w:hAnsi="Calibri" w:cs="Calibri"/>
                <w:i/>
                <w:lang w:val="en-US"/>
              </w:rPr>
              <w:t xml:space="preserve"> </w:t>
            </w:r>
            <w:proofErr w:type="spellStart"/>
            <w:r w:rsidRPr="00A415D8">
              <w:rPr>
                <w:rFonts w:ascii="Calibri" w:hAnsi="Calibri" w:cs="Calibri"/>
                <w:i/>
                <w:lang w:val="en-US"/>
              </w:rPr>
              <w:t>cenová</w:t>
            </w:r>
            <w:proofErr w:type="spellEnd"/>
            <w:r w:rsidRPr="00A415D8">
              <w:rPr>
                <w:rFonts w:ascii="Calibri" w:hAnsi="Calibri" w:cs="Calibri"/>
                <w:i/>
                <w:lang w:val="en-US"/>
              </w:rPr>
              <w:t xml:space="preserve"> </w:t>
            </w:r>
            <w:proofErr w:type="spellStart"/>
            <w:r w:rsidRPr="00A415D8">
              <w:rPr>
                <w:rFonts w:ascii="Calibri" w:hAnsi="Calibri" w:cs="Calibri"/>
                <w:i/>
                <w:lang w:val="en-US"/>
              </w:rPr>
              <w:t>inflácia</w:t>
            </w:r>
            <w:proofErr w:type="spellEnd"/>
            <w:r w:rsidRPr="00A415D8">
              <w:rPr>
                <w:rFonts w:ascii="Calibri" w:hAnsi="Calibri" w:cs="Calibri"/>
                <w:i/>
                <w:lang w:val="en-US"/>
              </w:rPr>
              <w:t xml:space="preserve">) </w:t>
            </w:r>
            <w:proofErr w:type="spellStart"/>
            <w:r w:rsidRPr="00A415D8">
              <w:rPr>
                <w:rFonts w:ascii="Calibri" w:hAnsi="Calibri" w:cs="Calibri"/>
                <w:i/>
                <w:lang w:val="en-US"/>
              </w:rPr>
              <w:t>nevyžadujú</w:t>
            </w:r>
            <w:proofErr w:type="spellEnd"/>
            <w:r w:rsidRPr="00A415D8">
              <w:rPr>
                <w:rFonts w:ascii="Calibri" w:hAnsi="Calibri" w:cs="Calibri"/>
                <w:i/>
                <w:lang w:val="en-US"/>
              </w:rPr>
              <w:t xml:space="preserve"> </w:t>
            </w:r>
            <w:proofErr w:type="spellStart"/>
            <w:r w:rsidRPr="00A415D8">
              <w:rPr>
                <w:rFonts w:ascii="Calibri" w:hAnsi="Calibri" w:cs="Calibri"/>
                <w:i/>
                <w:lang w:val="en-US"/>
              </w:rPr>
              <w:t>prepočet</w:t>
            </w:r>
            <w:proofErr w:type="spellEnd"/>
            <w:r w:rsidRPr="00A415D8">
              <w:rPr>
                <w:rFonts w:ascii="Calibri" w:hAnsi="Calibri" w:cs="Calibri"/>
                <w:i/>
                <w:lang w:val="en-US"/>
              </w:rPr>
              <w:t xml:space="preserve"> </w:t>
            </w:r>
            <w:proofErr w:type="spellStart"/>
            <w:r w:rsidRPr="00A415D8">
              <w:rPr>
                <w:rFonts w:ascii="Calibri" w:hAnsi="Calibri" w:cs="Calibri"/>
                <w:i/>
                <w:lang w:val="en-US"/>
              </w:rPr>
              <w:t>finančnej</w:t>
            </w:r>
            <w:proofErr w:type="spellEnd"/>
            <w:r w:rsidRPr="00A415D8">
              <w:rPr>
                <w:rFonts w:ascii="Calibri" w:hAnsi="Calibri" w:cs="Calibri"/>
                <w:i/>
                <w:lang w:val="en-US"/>
              </w:rPr>
              <w:t xml:space="preserve"> </w:t>
            </w:r>
            <w:proofErr w:type="spellStart"/>
            <w:r w:rsidRPr="00A415D8">
              <w:rPr>
                <w:rFonts w:ascii="Calibri" w:hAnsi="Calibri" w:cs="Calibri"/>
                <w:i/>
                <w:lang w:val="en-US"/>
              </w:rPr>
              <w:t>medzery</w:t>
            </w:r>
            <w:proofErr w:type="spellEnd"/>
            <w:r w:rsidRPr="00A415D8">
              <w:rPr>
                <w:rFonts w:ascii="Calibri" w:hAnsi="Calibri" w:cs="Calibri"/>
                <w:i/>
                <w:lang w:val="en-US"/>
              </w:rPr>
              <w:t xml:space="preserve"> a </w:t>
            </w:r>
            <w:proofErr w:type="spellStart"/>
            <w:r w:rsidRPr="00A415D8">
              <w:rPr>
                <w:rFonts w:ascii="Calibri" w:hAnsi="Calibri" w:cs="Calibri"/>
                <w:i/>
                <w:lang w:val="en-US"/>
              </w:rPr>
              <w:t>zníženie</w:t>
            </w:r>
            <w:proofErr w:type="spellEnd"/>
            <w:r w:rsidRPr="00A415D8">
              <w:rPr>
                <w:rFonts w:ascii="Calibri" w:hAnsi="Calibri" w:cs="Calibri"/>
                <w:i/>
                <w:lang w:val="en-US"/>
              </w:rPr>
              <w:t xml:space="preserve"> NFP.</w:t>
            </w:r>
          </w:p>
        </w:tc>
      </w:tr>
    </w:tbl>
    <w:p w14:paraId="2E20D413" w14:textId="77777777" w:rsidR="00B42640" w:rsidRPr="00A415D8" w:rsidRDefault="00B42640" w:rsidP="00B42640">
      <w:pPr>
        <w:keepNext/>
        <w:keepLines/>
        <w:spacing w:line="276" w:lineRule="auto"/>
        <w:jc w:val="both"/>
        <w:rPr>
          <w:rFonts w:ascii="Calibri" w:hAnsi="Calibri" w:cs="Calibri"/>
          <w:sz w:val="20"/>
        </w:rPr>
      </w:pPr>
    </w:p>
    <w:p w14:paraId="6545A0AD" w14:textId="291C45CE" w:rsidR="00B42640" w:rsidRPr="00A415D8" w:rsidRDefault="00B42640" w:rsidP="00B42640">
      <w:pPr>
        <w:keepNext/>
        <w:keepLines/>
        <w:spacing w:line="276" w:lineRule="auto"/>
        <w:jc w:val="both"/>
        <w:rPr>
          <w:rFonts w:ascii="Calibri" w:hAnsi="Calibri" w:cs="Calibri"/>
          <w:sz w:val="20"/>
        </w:rPr>
      </w:pPr>
      <w:r w:rsidRPr="00A415D8">
        <w:rPr>
          <w:rFonts w:ascii="Calibri" w:hAnsi="Calibri" w:cs="Calibri"/>
          <w:sz w:val="20"/>
        </w:rPr>
        <w:t xml:space="preserve">Prijímateľ postupuje pri výpočte finančnej medzery v súlade s  Metodickou príručkou k tvorbe analýz výdavkov a príjmov (CBA) v rámci predkladania investičných projektov </w:t>
      </w:r>
      <w:r w:rsidR="00625476">
        <w:rPr>
          <w:rFonts w:ascii="Calibri" w:hAnsi="Calibri" w:cs="Calibri"/>
          <w:sz w:val="20"/>
        </w:rPr>
        <w:t>PSK</w:t>
      </w:r>
      <w:r w:rsidRPr="00A415D8">
        <w:rPr>
          <w:rFonts w:ascii="Calibri" w:hAnsi="Calibri" w:cs="Calibri"/>
          <w:sz w:val="20"/>
        </w:rPr>
        <w:t xml:space="preserve"> v oblasti dop</w:t>
      </w:r>
      <w:r w:rsidR="00625476">
        <w:rPr>
          <w:rFonts w:ascii="Calibri" w:hAnsi="Calibri" w:cs="Calibri"/>
          <w:sz w:val="20"/>
        </w:rPr>
        <w:t>ravy pre programové obdobie 2021 – 2027</w:t>
      </w:r>
      <w:r w:rsidRPr="00A415D8">
        <w:rPr>
          <w:rFonts w:ascii="Calibri" w:hAnsi="Calibri" w:cs="Calibri"/>
          <w:sz w:val="20"/>
        </w:rPr>
        <w:t xml:space="preserve">. </w:t>
      </w:r>
    </w:p>
    <w:p w14:paraId="12D81AB2" w14:textId="36957808" w:rsidR="00B42640" w:rsidRPr="00A415D8" w:rsidRDefault="00B42640" w:rsidP="00B42640">
      <w:pPr>
        <w:keepNext/>
        <w:keepLines/>
        <w:spacing w:line="276" w:lineRule="auto"/>
        <w:jc w:val="both"/>
        <w:rPr>
          <w:rFonts w:ascii="Calibri" w:hAnsi="Calibri" w:cs="Calibri"/>
          <w:b/>
          <w:sz w:val="20"/>
          <w:u w:val="single"/>
        </w:rPr>
      </w:pPr>
    </w:p>
    <w:p w14:paraId="0784DF1B" w14:textId="28DD3217" w:rsidR="00B42640" w:rsidRPr="00A415D8" w:rsidRDefault="00B42640" w:rsidP="00B42640">
      <w:pPr>
        <w:keepNext/>
        <w:keepLines/>
        <w:spacing w:line="276" w:lineRule="auto"/>
        <w:jc w:val="both"/>
        <w:rPr>
          <w:rFonts w:ascii="Calibri" w:hAnsi="Calibri" w:cs="Calibri"/>
          <w:b/>
          <w:sz w:val="20"/>
          <w:u w:val="single"/>
        </w:rPr>
      </w:pPr>
      <w:r w:rsidRPr="00A415D8">
        <w:rPr>
          <w:rFonts w:ascii="Calibri" w:hAnsi="Calibri" w:cs="Calibri"/>
          <w:b/>
          <w:sz w:val="20"/>
          <w:u w:val="single"/>
        </w:rPr>
        <w:t xml:space="preserve">Projekty vytvárajúce príjmy </w:t>
      </w:r>
      <w:r w:rsidR="00E167A8">
        <w:rPr>
          <w:rFonts w:ascii="Calibri" w:hAnsi="Calibri" w:cs="Calibri"/>
          <w:b/>
          <w:sz w:val="20"/>
          <w:u w:val="single"/>
        </w:rPr>
        <w:t xml:space="preserve">formou iných </w:t>
      </w:r>
      <w:r w:rsidRPr="00A415D8">
        <w:rPr>
          <w:rFonts w:ascii="Calibri" w:hAnsi="Calibri" w:cs="Calibri"/>
          <w:b/>
          <w:sz w:val="20"/>
          <w:u w:val="single"/>
        </w:rPr>
        <w:t>p</w:t>
      </w:r>
      <w:bookmarkEnd w:id="11"/>
      <w:r w:rsidR="00E167A8">
        <w:rPr>
          <w:rFonts w:ascii="Calibri" w:hAnsi="Calibri" w:cs="Calibri"/>
          <w:b/>
          <w:sz w:val="20"/>
          <w:u w:val="single"/>
        </w:rPr>
        <w:t>eňažných príjmov</w:t>
      </w:r>
    </w:p>
    <w:p w14:paraId="7B6E1D59" w14:textId="3CB8C340" w:rsidR="00B42640" w:rsidRPr="00A415D8" w:rsidRDefault="00B42640" w:rsidP="00B42640">
      <w:pPr>
        <w:keepNext/>
        <w:keepLines/>
        <w:spacing w:line="276" w:lineRule="auto"/>
        <w:jc w:val="both"/>
        <w:rPr>
          <w:rFonts w:ascii="Calibri" w:hAnsi="Calibri" w:cs="Calibri"/>
          <w:sz w:val="20"/>
        </w:rPr>
      </w:pPr>
      <w:r w:rsidRPr="00A415D8">
        <w:rPr>
          <w:rFonts w:ascii="Calibri" w:hAnsi="Calibri" w:cs="Calibri"/>
          <w:sz w:val="20"/>
        </w:rPr>
        <w:t>Projekty, ktoré svojou charakteristikou resp. objemom</w:t>
      </w:r>
      <w:r w:rsidRPr="00A415D8">
        <w:rPr>
          <w:rFonts w:ascii="Calibri" w:hAnsi="Calibri" w:cs="Calibri"/>
          <w:sz w:val="20"/>
          <w:vertAlign w:val="superscript"/>
        </w:rPr>
        <w:footnoteReference w:id="3"/>
      </w:r>
      <w:r w:rsidRPr="00A415D8">
        <w:rPr>
          <w:rFonts w:ascii="Calibri" w:hAnsi="Calibri" w:cs="Calibri"/>
          <w:sz w:val="20"/>
        </w:rPr>
        <w:t xml:space="preserve"> nespadajú pod aplikáciu </w:t>
      </w:r>
      <w:r w:rsidR="00E167A8">
        <w:rPr>
          <w:rFonts w:ascii="Calibri" w:hAnsi="Calibri" w:cs="Calibri"/>
          <w:sz w:val="20"/>
        </w:rPr>
        <w:t>štandardných peňažných príjmov, ale</w:t>
      </w:r>
      <w:r w:rsidRPr="00A415D8">
        <w:rPr>
          <w:rFonts w:ascii="Calibri" w:hAnsi="Calibri" w:cs="Calibri"/>
          <w:sz w:val="20"/>
        </w:rPr>
        <w:t xml:space="preserve"> vytvárajú tzv. iné peňažné príjmy. Tieto príjmy znižujú celkové oprávnené výdavky projektu, čím je znížený základ pre výpočet pomoci a tým aj samotná výška pomoci.</w:t>
      </w:r>
    </w:p>
    <w:p w14:paraId="4A68DF3C" w14:textId="0169140E" w:rsidR="00B42640" w:rsidRPr="00A415D8" w:rsidRDefault="00B42640" w:rsidP="00B42640">
      <w:pPr>
        <w:keepNext/>
        <w:keepLines/>
        <w:spacing w:line="276" w:lineRule="auto"/>
        <w:jc w:val="both"/>
        <w:rPr>
          <w:rFonts w:ascii="Calibri" w:hAnsi="Calibri" w:cs="Calibri"/>
          <w:sz w:val="20"/>
        </w:rPr>
      </w:pPr>
      <w:r w:rsidRPr="00A415D8">
        <w:rPr>
          <w:rFonts w:ascii="Calibri" w:hAnsi="Calibri" w:cs="Calibri"/>
          <w:sz w:val="20"/>
        </w:rPr>
        <w:t xml:space="preserve">Na projekty vytvárajúce čistý príjem počas realizácie projektu, ktorých celkové oprávnené výdavky sú rovné alebo nižšie ako </w:t>
      </w:r>
      <w:r w:rsidR="008322CE">
        <w:rPr>
          <w:rFonts w:ascii="Calibri" w:hAnsi="Calibri" w:cs="Calibri"/>
          <w:sz w:val="20"/>
        </w:rPr>
        <w:t>1 mil.</w:t>
      </w:r>
      <w:r w:rsidRPr="00A415D8">
        <w:rPr>
          <w:rFonts w:ascii="Calibri" w:hAnsi="Calibri" w:cs="Calibri"/>
          <w:sz w:val="20"/>
        </w:rPr>
        <w:t xml:space="preserve"> Eur, sa povinnosť odpočítať čisté iné peňažné príjmy vytvorené v období realizácie projektu od oprávnených výdavkov projektu nevzťahuje.</w:t>
      </w:r>
    </w:p>
    <w:p w14:paraId="3448DD09" w14:textId="6CA27A63" w:rsidR="00B42640" w:rsidRPr="00A415D8" w:rsidRDefault="00B42640" w:rsidP="00B42640">
      <w:pPr>
        <w:keepNext/>
        <w:keepLines/>
        <w:spacing w:line="276" w:lineRule="auto"/>
        <w:jc w:val="both"/>
        <w:rPr>
          <w:rFonts w:ascii="Calibri" w:hAnsi="Calibri" w:cs="Calibri"/>
          <w:sz w:val="20"/>
        </w:rPr>
      </w:pPr>
      <w:r w:rsidRPr="00A415D8">
        <w:rPr>
          <w:rFonts w:ascii="Calibri" w:hAnsi="Calibri" w:cs="Calibri"/>
          <w:sz w:val="20"/>
        </w:rPr>
        <w:t xml:space="preserve">Prijímateľ </w:t>
      </w:r>
      <w:r w:rsidR="00625476">
        <w:rPr>
          <w:rFonts w:ascii="Calibri" w:hAnsi="Calibri" w:cs="Calibri"/>
          <w:sz w:val="20"/>
        </w:rPr>
        <w:t xml:space="preserve">predkladá na SO </w:t>
      </w:r>
      <w:r w:rsidR="00E0417C">
        <w:rPr>
          <w:rFonts w:ascii="Calibri" w:hAnsi="Calibri" w:cs="Calibri"/>
          <w:sz w:val="20"/>
        </w:rPr>
        <w:t>zmenu</w:t>
      </w:r>
      <w:r w:rsidRPr="00A415D8">
        <w:rPr>
          <w:rFonts w:ascii="Calibri" w:hAnsi="Calibri" w:cs="Calibri"/>
          <w:sz w:val="20"/>
        </w:rPr>
        <w:t xml:space="preserve"> projektu </w:t>
      </w:r>
      <w:r w:rsidR="00E0417C">
        <w:rPr>
          <w:rFonts w:ascii="Calibri" w:hAnsi="Calibri" w:cs="Calibri"/>
          <w:sz w:val="20"/>
        </w:rPr>
        <w:t xml:space="preserve">typu Monitorovanie pri ukončení realizácie aktivít projektu </w:t>
      </w:r>
      <w:r w:rsidRPr="00A415D8">
        <w:rPr>
          <w:rFonts w:ascii="Calibri" w:hAnsi="Calibri" w:cs="Calibri"/>
          <w:sz w:val="20"/>
        </w:rPr>
        <w:t>do 30 pracovných dní odo dňa ukončenia aktivít projektu ktorá sleduje celé obdobie od účinnosti zmluvy o poskytnutí NFP do momentu ukončenia realizácie aktivít projektu.</w:t>
      </w:r>
    </w:p>
    <w:p w14:paraId="43DCCA5B" w14:textId="6F8CD194" w:rsidR="00B42640" w:rsidRPr="00A415D8" w:rsidRDefault="00B42640" w:rsidP="00B42640">
      <w:pPr>
        <w:keepNext/>
        <w:keepLines/>
        <w:spacing w:line="276" w:lineRule="auto"/>
        <w:jc w:val="both"/>
        <w:rPr>
          <w:rFonts w:ascii="Calibri" w:hAnsi="Calibri" w:cs="Calibri"/>
          <w:b/>
          <w:sz w:val="20"/>
          <w:u w:val="single"/>
        </w:rPr>
      </w:pPr>
      <w:bookmarkStart w:id="13" w:name="_Toc469685700"/>
      <w:r w:rsidRPr="00A415D8">
        <w:rPr>
          <w:rFonts w:ascii="Calibri" w:hAnsi="Calibri" w:cs="Calibri"/>
          <w:b/>
          <w:sz w:val="20"/>
          <w:u w:val="single"/>
        </w:rPr>
        <w:t xml:space="preserve">Spôsob vysporiadania </w:t>
      </w:r>
      <w:bookmarkEnd w:id="13"/>
      <w:r w:rsidR="008322CE">
        <w:rPr>
          <w:rFonts w:ascii="Calibri" w:hAnsi="Calibri" w:cs="Calibri"/>
          <w:b/>
          <w:sz w:val="20"/>
          <w:u w:val="single"/>
        </w:rPr>
        <w:t>iných peňažných príjmov</w:t>
      </w:r>
    </w:p>
    <w:p w14:paraId="61C14E94" w14:textId="4C408561" w:rsidR="00B42640" w:rsidRPr="00A415D8" w:rsidRDefault="008322CE" w:rsidP="00B42640">
      <w:pPr>
        <w:keepNext/>
        <w:keepLines/>
        <w:spacing w:line="276" w:lineRule="auto"/>
        <w:jc w:val="both"/>
        <w:rPr>
          <w:rFonts w:ascii="Calibri" w:hAnsi="Calibri" w:cs="Calibri"/>
          <w:sz w:val="20"/>
        </w:rPr>
      </w:pPr>
      <w:r>
        <w:rPr>
          <w:rFonts w:ascii="Calibri" w:hAnsi="Calibri" w:cs="Calibri"/>
          <w:sz w:val="20"/>
        </w:rPr>
        <w:t xml:space="preserve">Pri takýchto projektoch je nutné </w:t>
      </w:r>
      <w:r w:rsidR="00B42640" w:rsidRPr="00A415D8">
        <w:rPr>
          <w:rFonts w:ascii="Calibri" w:hAnsi="Calibri" w:cs="Calibri"/>
          <w:sz w:val="20"/>
        </w:rPr>
        <w:t>odpočítať čisté iné peňažné príjmy vytvorené v období realizácie projektu od oprávnených výdavkov projektu, a to najneskôr pri predložení záverečnej žiadosti o platbu, pokiaľ tieto príjmy neboli zohľadnené už pri schválení projektu a pomoc nebola znížená už na začiatku projektu. Čisté iné peňažné príjmy predstavujú rozdiel iných peňažných príjmov a prevádzkových výdavkov projektu.</w:t>
      </w:r>
    </w:p>
    <w:p w14:paraId="4FF06EEA" w14:textId="77777777" w:rsidR="00B42640" w:rsidRPr="00A415D8" w:rsidRDefault="00B42640" w:rsidP="00B42640">
      <w:pPr>
        <w:keepNext/>
        <w:keepLines/>
        <w:spacing w:line="276" w:lineRule="auto"/>
        <w:jc w:val="both"/>
        <w:rPr>
          <w:rFonts w:ascii="Calibri" w:hAnsi="Calibri" w:cs="Calibri"/>
          <w:sz w:val="20"/>
        </w:rPr>
      </w:pPr>
      <w:r w:rsidRPr="00A415D8">
        <w:rPr>
          <w:rFonts w:ascii="Calibri" w:hAnsi="Calibri" w:cs="Calibri"/>
          <w:sz w:val="20"/>
        </w:rPr>
        <w:t>Ak sa predpokladaná výška čistých iných peňažných príjmov líši od skutočne dosiahnutých hodnôt, potom platí:</w:t>
      </w:r>
    </w:p>
    <w:p w14:paraId="55DBD71B" w14:textId="77777777" w:rsidR="00B42640" w:rsidRPr="00A415D8" w:rsidRDefault="00B42640" w:rsidP="00B42640">
      <w:pPr>
        <w:keepNext/>
        <w:keepLines/>
        <w:numPr>
          <w:ilvl w:val="0"/>
          <w:numId w:val="36"/>
        </w:numPr>
        <w:spacing w:after="0" w:line="276" w:lineRule="auto"/>
        <w:jc w:val="both"/>
        <w:rPr>
          <w:rFonts w:ascii="Calibri" w:hAnsi="Calibri" w:cs="Calibri"/>
          <w:sz w:val="20"/>
        </w:rPr>
      </w:pPr>
      <w:r w:rsidRPr="00A415D8">
        <w:rPr>
          <w:rFonts w:ascii="Calibri" w:hAnsi="Calibri" w:cs="Calibri"/>
          <w:sz w:val="20"/>
        </w:rPr>
        <w:t>ak sú skutočné čisté iné peňažné príjmy nižšie, prijímateľ nemá nárok na navýšenie NFP,</w:t>
      </w:r>
    </w:p>
    <w:p w14:paraId="6DD80750" w14:textId="77777777" w:rsidR="00B42640" w:rsidRPr="00A415D8" w:rsidRDefault="00B42640" w:rsidP="00B42640">
      <w:pPr>
        <w:keepNext/>
        <w:keepLines/>
        <w:numPr>
          <w:ilvl w:val="0"/>
          <w:numId w:val="36"/>
        </w:numPr>
        <w:spacing w:after="0" w:line="276" w:lineRule="auto"/>
        <w:jc w:val="both"/>
        <w:rPr>
          <w:rFonts w:ascii="Calibri" w:hAnsi="Calibri" w:cs="Calibri"/>
          <w:sz w:val="20"/>
        </w:rPr>
      </w:pPr>
      <w:r w:rsidRPr="00A415D8">
        <w:rPr>
          <w:rFonts w:ascii="Calibri" w:hAnsi="Calibri" w:cs="Calibri"/>
          <w:sz w:val="20"/>
        </w:rPr>
        <w:t>ak sú skutočné čisté iné peňažné príjmy vyššie, o toto navýšenie sa ponížia oprávnené výdavky a tým aj výška NFP.</w:t>
      </w:r>
    </w:p>
    <w:p w14:paraId="1D3C6D8E" w14:textId="4D5B9D60" w:rsidR="00B42640" w:rsidRPr="00A415D8" w:rsidRDefault="00B42640" w:rsidP="00B42640">
      <w:pPr>
        <w:keepNext/>
        <w:keepLines/>
        <w:spacing w:line="276" w:lineRule="auto"/>
        <w:jc w:val="both"/>
        <w:rPr>
          <w:rFonts w:ascii="Calibri" w:hAnsi="Calibri" w:cs="Calibri"/>
          <w:sz w:val="20"/>
        </w:rPr>
      </w:pPr>
      <w:r w:rsidRPr="00A415D8">
        <w:rPr>
          <w:rFonts w:ascii="Calibri" w:hAnsi="Calibri" w:cs="Calibri"/>
          <w:sz w:val="20"/>
        </w:rPr>
        <w:t>Ak na spolufinancovanie nie sú oprávnené všetky investičné výdavky, čistý príjem sa úmerne rozdelí na oprávnenú a neoprávnenú časť výdavkov.</w:t>
      </w:r>
    </w:p>
    <w:tbl>
      <w:tblPr>
        <w:tblStyle w:val="Mriekatabuky"/>
        <w:tblW w:w="0" w:type="auto"/>
        <w:shd w:val="clear" w:color="auto" w:fill="F2F2F2"/>
        <w:tblLook w:val="04A0" w:firstRow="1" w:lastRow="0" w:firstColumn="1" w:lastColumn="0" w:noHBand="0" w:noVBand="1"/>
      </w:tblPr>
      <w:tblGrid>
        <w:gridCol w:w="9060"/>
      </w:tblGrid>
      <w:tr w:rsidR="00B42640" w:rsidRPr="00A415D8" w14:paraId="69E0E9F3" w14:textId="77777777" w:rsidTr="00625476">
        <w:tc>
          <w:tcPr>
            <w:tcW w:w="9060" w:type="dxa"/>
            <w:tcBorders>
              <w:top w:val="single" w:sz="12" w:space="0" w:color="00A1DE"/>
              <w:left w:val="single" w:sz="12" w:space="0" w:color="00A1DE"/>
              <w:bottom w:val="single" w:sz="12" w:space="0" w:color="00A1DE"/>
              <w:right w:val="single" w:sz="12" w:space="0" w:color="00A1DE"/>
            </w:tcBorders>
            <w:shd w:val="clear" w:color="auto" w:fill="F2F2F2"/>
          </w:tcPr>
          <w:p w14:paraId="3243B0C3" w14:textId="545B4EC5" w:rsidR="00B42640" w:rsidRPr="00A415D8" w:rsidRDefault="00B42640" w:rsidP="00E0417C">
            <w:pPr>
              <w:keepNext/>
              <w:keepLines/>
              <w:spacing w:line="276" w:lineRule="auto"/>
              <w:ind w:left="0"/>
              <w:jc w:val="both"/>
              <w:rPr>
                <w:rFonts w:ascii="Calibri" w:hAnsi="Calibri" w:cs="Calibri"/>
                <w:lang w:val="en-US"/>
              </w:rPr>
            </w:pPr>
            <w:proofErr w:type="spellStart"/>
            <w:r w:rsidRPr="00A415D8">
              <w:rPr>
                <w:rFonts w:ascii="Calibri" w:hAnsi="Calibri" w:cs="Calibri"/>
                <w:i/>
                <w:lang w:val="en-US"/>
              </w:rPr>
              <w:t>Prijímateľ</w:t>
            </w:r>
            <w:proofErr w:type="spellEnd"/>
            <w:r w:rsidRPr="00A415D8">
              <w:rPr>
                <w:rFonts w:ascii="Calibri" w:hAnsi="Calibri" w:cs="Calibri"/>
                <w:i/>
                <w:lang w:val="en-US"/>
              </w:rPr>
              <w:t xml:space="preserve"> </w:t>
            </w:r>
            <w:proofErr w:type="spellStart"/>
            <w:r w:rsidRPr="00A415D8">
              <w:rPr>
                <w:rFonts w:ascii="Calibri" w:hAnsi="Calibri" w:cs="Calibri"/>
                <w:i/>
                <w:lang w:val="en-US"/>
              </w:rPr>
              <w:t>má</w:t>
            </w:r>
            <w:proofErr w:type="spellEnd"/>
            <w:r w:rsidRPr="00A415D8">
              <w:rPr>
                <w:rFonts w:ascii="Calibri" w:hAnsi="Calibri" w:cs="Calibri"/>
                <w:i/>
                <w:lang w:val="en-US"/>
              </w:rPr>
              <w:t xml:space="preserve"> </w:t>
            </w:r>
            <w:proofErr w:type="spellStart"/>
            <w:r w:rsidRPr="00A415D8">
              <w:rPr>
                <w:rFonts w:ascii="Calibri" w:hAnsi="Calibri" w:cs="Calibri"/>
                <w:i/>
                <w:lang w:val="en-US"/>
              </w:rPr>
              <w:t>povinnosť</w:t>
            </w:r>
            <w:proofErr w:type="spellEnd"/>
            <w:r w:rsidRPr="00A415D8">
              <w:rPr>
                <w:rFonts w:ascii="Calibri" w:hAnsi="Calibri" w:cs="Calibri"/>
                <w:i/>
                <w:lang w:val="en-US"/>
              </w:rPr>
              <w:t xml:space="preserve"> </w:t>
            </w:r>
            <w:proofErr w:type="spellStart"/>
            <w:r w:rsidRPr="00A415D8">
              <w:rPr>
                <w:rFonts w:ascii="Calibri" w:hAnsi="Calibri" w:cs="Calibri"/>
                <w:i/>
                <w:lang w:val="en-US"/>
              </w:rPr>
              <w:t>monitorovať</w:t>
            </w:r>
            <w:proofErr w:type="spellEnd"/>
            <w:r w:rsidRPr="00A415D8">
              <w:rPr>
                <w:rFonts w:ascii="Calibri" w:hAnsi="Calibri" w:cs="Calibri"/>
                <w:i/>
                <w:lang w:val="en-US"/>
              </w:rPr>
              <w:t xml:space="preserve"> </w:t>
            </w:r>
            <w:proofErr w:type="spellStart"/>
            <w:r w:rsidRPr="00A415D8">
              <w:rPr>
                <w:rFonts w:ascii="Calibri" w:hAnsi="Calibri" w:cs="Calibri"/>
                <w:i/>
                <w:lang w:val="en-US"/>
              </w:rPr>
              <w:t>iné</w:t>
            </w:r>
            <w:proofErr w:type="spellEnd"/>
            <w:r w:rsidRPr="00A415D8">
              <w:rPr>
                <w:rFonts w:ascii="Calibri" w:hAnsi="Calibri" w:cs="Calibri"/>
                <w:i/>
                <w:lang w:val="en-US"/>
              </w:rPr>
              <w:t xml:space="preserve"> </w:t>
            </w:r>
            <w:proofErr w:type="spellStart"/>
            <w:r w:rsidRPr="00A415D8">
              <w:rPr>
                <w:rFonts w:ascii="Calibri" w:hAnsi="Calibri" w:cs="Calibri"/>
                <w:i/>
                <w:lang w:val="en-US"/>
              </w:rPr>
              <w:t>čisté</w:t>
            </w:r>
            <w:proofErr w:type="spellEnd"/>
            <w:r w:rsidRPr="00A415D8">
              <w:rPr>
                <w:rFonts w:ascii="Calibri" w:hAnsi="Calibri" w:cs="Calibri"/>
                <w:i/>
                <w:lang w:val="en-US"/>
              </w:rPr>
              <w:t xml:space="preserve"> </w:t>
            </w:r>
            <w:proofErr w:type="spellStart"/>
            <w:r w:rsidRPr="00A415D8">
              <w:rPr>
                <w:rFonts w:ascii="Calibri" w:hAnsi="Calibri" w:cs="Calibri"/>
                <w:i/>
                <w:lang w:val="en-US"/>
              </w:rPr>
              <w:t>peňažné</w:t>
            </w:r>
            <w:proofErr w:type="spellEnd"/>
            <w:r w:rsidRPr="00A415D8">
              <w:rPr>
                <w:rFonts w:ascii="Calibri" w:hAnsi="Calibri" w:cs="Calibri"/>
                <w:i/>
                <w:lang w:val="en-US"/>
              </w:rPr>
              <w:t xml:space="preserve"> </w:t>
            </w:r>
            <w:proofErr w:type="spellStart"/>
            <w:r w:rsidRPr="00A415D8">
              <w:rPr>
                <w:rFonts w:ascii="Calibri" w:hAnsi="Calibri" w:cs="Calibri"/>
                <w:i/>
                <w:lang w:val="en-US"/>
              </w:rPr>
              <w:t>príjmy</w:t>
            </w:r>
            <w:proofErr w:type="spellEnd"/>
            <w:r w:rsidRPr="00A415D8">
              <w:rPr>
                <w:rFonts w:ascii="Calibri" w:hAnsi="Calibri" w:cs="Calibri"/>
                <w:i/>
                <w:lang w:val="en-US"/>
              </w:rPr>
              <w:t xml:space="preserve"> </w:t>
            </w:r>
            <w:proofErr w:type="spellStart"/>
            <w:r w:rsidR="00E0417C">
              <w:rPr>
                <w:rFonts w:ascii="Calibri" w:hAnsi="Calibri" w:cs="Calibri"/>
                <w:i/>
                <w:lang w:val="en-US"/>
              </w:rPr>
              <w:t>počas</w:t>
            </w:r>
            <w:proofErr w:type="spellEnd"/>
            <w:r w:rsidR="00E0417C">
              <w:rPr>
                <w:rFonts w:ascii="Calibri" w:hAnsi="Calibri" w:cs="Calibri"/>
                <w:i/>
                <w:lang w:val="en-US"/>
              </w:rPr>
              <w:t xml:space="preserve"> </w:t>
            </w:r>
            <w:proofErr w:type="spellStart"/>
            <w:r w:rsidR="00E0417C">
              <w:rPr>
                <w:rFonts w:ascii="Calibri" w:hAnsi="Calibri" w:cs="Calibri"/>
                <w:i/>
                <w:lang w:val="en-US"/>
              </w:rPr>
              <w:t>doby</w:t>
            </w:r>
            <w:proofErr w:type="spellEnd"/>
            <w:r w:rsidR="00E0417C">
              <w:rPr>
                <w:rFonts w:ascii="Calibri" w:hAnsi="Calibri" w:cs="Calibri"/>
                <w:i/>
                <w:lang w:val="en-US"/>
              </w:rPr>
              <w:t xml:space="preserve"> </w:t>
            </w:r>
            <w:proofErr w:type="spellStart"/>
            <w:r w:rsidR="00E0417C">
              <w:rPr>
                <w:rFonts w:ascii="Calibri" w:hAnsi="Calibri" w:cs="Calibri"/>
                <w:i/>
                <w:lang w:val="en-US"/>
              </w:rPr>
              <w:t>realizácie</w:t>
            </w:r>
            <w:proofErr w:type="spellEnd"/>
            <w:r w:rsidR="00E0417C">
              <w:rPr>
                <w:rFonts w:ascii="Calibri" w:hAnsi="Calibri" w:cs="Calibri"/>
                <w:i/>
                <w:lang w:val="en-US"/>
              </w:rPr>
              <w:t xml:space="preserve"> </w:t>
            </w:r>
            <w:proofErr w:type="spellStart"/>
            <w:r w:rsidR="00E0417C">
              <w:rPr>
                <w:rFonts w:ascii="Calibri" w:hAnsi="Calibri" w:cs="Calibri"/>
                <w:i/>
                <w:lang w:val="en-US"/>
              </w:rPr>
              <w:t>projektu</w:t>
            </w:r>
            <w:proofErr w:type="spellEnd"/>
            <w:r w:rsidR="00E0417C">
              <w:rPr>
                <w:rFonts w:ascii="Calibri" w:hAnsi="Calibri" w:cs="Calibri"/>
                <w:i/>
                <w:lang w:val="en-US"/>
              </w:rPr>
              <w:t xml:space="preserve"> </w:t>
            </w:r>
            <w:proofErr w:type="spellStart"/>
            <w:r w:rsidR="00E0417C">
              <w:rPr>
                <w:rFonts w:ascii="Calibri" w:hAnsi="Calibri" w:cs="Calibri"/>
                <w:i/>
                <w:lang w:val="en-US"/>
              </w:rPr>
              <w:t>pri</w:t>
            </w:r>
            <w:proofErr w:type="spellEnd"/>
            <w:r w:rsidR="00E0417C">
              <w:rPr>
                <w:rFonts w:ascii="Calibri" w:hAnsi="Calibri" w:cs="Calibri"/>
                <w:i/>
                <w:lang w:val="en-US"/>
              </w:rPr>
              <w:t xml:space="preserve"> </w:t>
            </w:r>
            <w:proofErr w:type="spellStart"/>
            <w:r w:rsidR="00E0417C">
              <w:rPr>
                <w:rFonts w:ascii="Calibri" w:hAnsi="Calibri" w:cs="Calibri"/>
                <w:i/>
                <w:lang w:val="en-US"/>
              </w:rPr>
              <w:t>zmene</w:t>
            </w:r>
            <w:proofErr w:type="spellEnd"/>
            <w:r w:rsidR="00E0417C">
              <w:rPr>
                <w:rFonts w:ascii="Calibri" w:hAnsi="Calibri" w:cs="Calibri"/>
                <w:i/>
                <w:lang w:val="en-US"/>
              </w:rPr>
              <w:t xml:space="preserve"> </w:t>
            </w:r>
            <w:proofErr w:type="spellStart"/>
            <w:r w:rsidR="00E0417C">
              <w:rPr>
                <w:rFonts w:ascii="Calibri" w:hAnsi="Calibri" w:cs="Calibri"/>
                <w:i/>
                <w:lang w:val="en-US"/>
              </w:rPr>
              <w:t>projketu</w:t>
            </w:r>
            <w:proofErr w:type="spellEnd"/>
            <w:r w:rsidR="00E0417C">
              <w:rPr>
                <w:rFonts w:ascii="Calibri" w:hAnsi="Calibri" w:cs="Calibri"/>
                <w:i/>
                <w:lang w:val="en-US"/>
              </w:rPr>
              <w:t xml:space="preserve"> </w:t>
            </w:r>
            <w:proofErr w:type="spellStart"/>
            <w:r w:rsidR="00E0417C">
              <w:rPr>
                <w:rFonts w:ascii="Calibri" w:hAnsi="Calibri" w:cs="Calibri"/>
                <w:i/>
                <w:lang w:val="en-US"/>
              </w:rPr>
              <w:t>typu</w:t>
            </w:r>
            <w:proofErr w:type="spellEnd"/>
            <w:r w:rsidR="00E0417C">
              <w:rPr>
                <w:rFonts w:ascii="Calibri" w:hAnsi="Calibri" w:cs="Calibri"/>
                <w:i/>
                <w:lang w:val="en-US"/>
              </w:rPr>
              <w:t xml:space="preserve"> </w:t>
            </w:r>
            <w:proofErr w:type="spellStart"/>
            <w:r w:rsidR="00E0417C">
              <w:rPr>
                <w:rFonts w:ascii="Calibri" w:hAnsi="Calibri" w:cs="Calibri"/>
                <w:i/>
                <w:lang w:val="en-US"/>
              </w:rPr>
              <w:t>Monitorovanie</w:t>
            </w:r>
            <w:proofErr w:type="spellEnd"/>
            <w:r w:rsidR="00E0417C">
              <w:rPr>
                <w:rFonts w:ascii="Calibri" w:hAnsi="Calibri" w:cs="Calibri"/>
                <w:i/>
                <w:lang w:val="en-US"/>
              </w:rPr>
              <w:t xml:space="preserve"> </w:t>
            </w:r>
            <w:proofErr w:type="spellStart"/>
            <w:r w:rsidR="00E0417C">
              <w:rPr>
                <w:rFonts w:ascii="Calibri" w:hAnsi="Calibri" w:cs="Calibri"/>
                <w:i/>
                <w:lang w:val="en-US"/>
              </w:rPr>
              <w:t>pri</w:t>
            </w:r>
            <w:proofErr w:type="spellEnd"/>
            <w:r w:rsidR="00E0417C">
              <w:rPr>
                <w:rFonts w:ascii="Calibri" w:hAnsi="Calibri" w:cs="Calibri"/>
                <w:i/>
                <w:lang w:val="en-US"/>
              </w:rPr>
              <w:t xml:space="preserve"> </w:t>
            </w:r>
            <w:proofErr w:type="spellStart"/>
            <w:r w:rsidR="00E0417C">
              <w:rPr>
                <w:rFonts w:ascii="Calibri" w:hAnsi="Calibri" w:cs="Calibri"/>
                <w:i/>
                <w:lang w:val="en-US"/>
              </w:rPr>
              <w:t>ukončení</w:t>
            </w:r>
            <w:proofErr w:type="spellEnd"/>
            <w:r w:rsidR="00E0417C">
              <w:rPr>
                <w:rFonts w:ascii="Calibri" w:hAnsi="Calibri" w:cs="Calibri"/>
                <w:i/>
                <w:lang w:val="en-US"/>
              </w:rPr>
              <w:t xml:space="preserve"> </w:t>
            </w:r>
            <w:proofErr w:type="spellStart"/>
            <w:r w:rsidR="00E0417C">
              <w:rPr>
                <w:rFonts w:ascii="Calibri" w:hAnsi="Calibri" w:cs="Calibri"/>
                <w:i/>
                <w:lang w:val="en-US"/>
              </w:rPr>
              <w:t>realizácie</w:t>
            </w:r>
            <w:proofErr w:type="spellEnd"/>
            <w:r w:rsidR="00E0417C">
              <w:rPr>
                <w:rFonts w:ascii="Calibri" w:hAnsi="Calibri" w:cs="Calibri"/>
                <w:i/>
                <w:lang w:val="en-US"/>
              </w:rPr>
              <w:t xml:space="preserve"> </w:t>
            </w:r>
            <w:proofErr w:type="spellStart"/>
            <w:r w:rsidR="00E0417C">
              <w:rPr>
                <w:rFonts w:ascii="Calibri" w:hAnsi="Calibri" w:cs="Calibri"/>
                <w:i/>
                <w:lang w:val="en-US"/>
              </w:rPr>
              <w:t>aktivít</w:t>
            </w:r>
            <w:proofErr w:type="spellEnd"/>
            <w:r w:rsidR="00E0417C">
              <w:rPr>
                <w:rFonts w:ascii="Calibri" w:hAnsi="Calibri" w:cs="Calibri"/>
                <w:i/>
                <w:lang w:val="en-US"/>
              </w:rPr>
              <w:t xml:space="preserve"> </w:t>
            </w:r>
            <w:proofErr w:type="spellStart"/>
            <w:r w:rsidR="00E0417C">
              <w:rPr>
                <w:rFonts w:ascii="Calibri" w:hAnsi="Calibri" w:cs="Calibri"/>
                <w:i/>
                <w:lang w:val="en-US"/>
              </w:rPr>
              <w:t>projektu</w:t>
            </w:r>
            <w:proofErr w:type="spellEnd"/>
            <w:r w:rsidRPr="00A415D8">
              <w:rPr>
                <w:rFonts w:ascii="Calibri" w:hAnsi="Calibri" w:cs="Calibri"/>
                <w:i/>
                <w:lang w:val="en-US"/>
              </w:rPr>
              <w:t xml:space="preserve"> </w:t>
            </w:r>
            <w:proofErr w:type="spellStart"/>
            <w:r w:rsidRPr="00A415D8">
              <w:rPr>
                <w:rFonts w:ascii="Calibri" w:hAnsi="Calibri" w:cs="Calibri"/>
                <w:i/>
                <w:lang w:val="en-US"/>
              </w:rPr>
              <w:t>rovnako</w:t>
            </w:r>
            <w:proofErr w:type="spellEnd"/>
            <w:r w:rsidRPr="00A415D8">
              <w:rPr>
                <w:rFonts w:ascii="Calibri" w:hAnsi="Calibri" w:cs="Calibri"/>
                <w:i/>
                <w:lang w:val="en-US"/>
              </w:rPr>
              <w:t xml:space="preserve">, </w:t>
            </w:r>
            <w:proofErr w:type="spellStart"/>
            <w:r w:rsidRPr="00A415D8">
              <w:rPr>
                <w:rFonts w:ascii="Calibri" w:hAnsi="Calibri" w:cs="Calibri"/>
                <w:i/>
                <w:lang w:val="en-US"/>
              </w:rPr>
              <w:t>ako</w:t>
            </w:r>
            <w:proofErr w:type="spellEnd"/>
            <w:r w:rsidRPr="00A415D8">
              <w:rPr>
                <w:rFonts w:ascii="Calibri" w:hAnsi="Calibri" w:cs="Calibri"/>
                <w:i/>
                <w:lang w:val="en-US"/>
              </w:rPr>
              <w:t xml:space="preserve"> </w:t>
            </w:r>
            <w:proofErr w:type="spellStart"/>
            <w:r w:rsidRPr="00A415D8">
              <w:rPr>
                <w:rFonts w:ascii="Calibri" w:hAnsi="Calibri" w:cs="Calibri"/>
                <w:i/>
                <w:lang w:val="en-US"/>
              </w:rPr>
              <w:t>odpočítať</w:t>
            </w:r>
            <w:proofErr w:type="spellEnd"/>
            <w:r w:rsidRPr="00A415D8">
              <w:rPr>
                <w:rFonts w:ascii="Calibri" w:hAnsi="Calibri" w:cs="Calibri"/>
                <w:i/>
                <w:lang w:val="en-US"/>
              </w:rPr>
              <w:t xml:space="preserve"> </w:t>
            </w:r>
            <w:proofErr w:type="spellStart"/>
            <w:r w:rsidRPr="00A415D8">
              <w:rPr>
                <w:rFonts w:ascii="Calibri" w:hAnsi="Calibri" w:cs="Calibri"/>
                <w:i/>
                <w:lang w:val="en-US"/>
              </w:rPr>
              <w:t>iný</w:t>
            </w:r>
            <w:proofErr w:type="spellEnd"/>
            <w:r w:rsidRPr="00A415D8">
              <w:rPr>
                <w:rFonts w:ascii="Calibri" w:hAnsi="Calibri" w:cs="Calibri"/>
                <w:i/>
                <w:lang w:val="en-US"/>
              </w:rPr>
              <w:t xml:space="preserve"> </w:t>
            </w:r>
            <w:proofErr w:type="spellStart"/>
            <w:r w:rsidRPr="00A415D8">
              <w:rPr>
                <w:rFonts w:ascii="Calibri" w:hAnsi="Calibri" w:cs="Calibri"/>
                <w:i/>
                <w:lang w:val="en-US"/>
              </w:rPr>
              <w:t>peňažný</w:t>
            </w:r>
            <w:proofErr w:type="spellEnd"/>
            <w:r w:rsidRPr="00A415D8">
              <w:rPr>
                <w:rFonts w:ascii="Calibri" w:hAnsi="Calibri" w:cs="Calibri"/>
                <w:i/>
                <w:lang w:val="en-US"/>
              </w:rPr>
              <w:t xml:space="preserve"> </w:t>
            </w:r>
            <w:proofErr w:type="spellStart"/>
            <w:r w:rsidRPr="00A415D8">
              <w:rPr>
                <w:rFonts w:ascii="Calibri" w:hAnsi="Calibri" w:cs="Calibri"/>
                <w:i/>
                <w:lang w:val="en-US"/>
              </w:rPr>
              <w:t>príjem</w:t>
            </w:r>
            <w:proofErr w:type="spellEnd"/>
            <w:r w:rsidRPr="00A415D8">
              <w:rPr>
                <w:rFonts w:ascii="Calibri" w:hAnsi="Calibri" w:cs="Calibri"/>
                <w:i/>
                <w:lang w:val="en-US"/>
              </w:rPr>
              <w:t xml:space="preserve"> </w:t>
            </w:r>
            <w:proofErr w:type="spellStart"/>
            <w:r w:rsidRPr="00A415D8">
              <w:rPr>
                <w:rFonts w:ascii="Calibri" w:hAnsi="Calibri" w:cs="Calibri"/>
                <w:i/>
                <w:lang w:val="en-US"/>
              </w:rPr>
              <w:t>od</w:t>
            </w:r>
            <w:proofErr w:type="spellEnd"/>
            <w:r w:rsidRPr="00A415D8">
              <w:rPr>
                <w:rFonts w:ascii="Calibri" w:hAnsi="Calibri" w:cs="Calibri"/>
                <w:i/>
                <w:lang w:val="en-US"/>
              </w:rPr>
              <w:t xml:space="preserve"> </w:t>
            </w:r>
            <w:proofErr w:type="spellStart"/>
            <w:r w:rsidRPr="00A415D8">
              <w:rPr>
                <w:rFonts w:ascii="Calibri" w:hAnsi="Calibri" w:cs="Calibri"/>
                <w:i/>
                <w:lang w:val="en-US"/>
              </w:rPr>
              <w:t>oprávnených</w:t>
            </w:r>
            <w:proofErr w:type="spellEnd"/>
            <w:r w:rsidRPr="00A415D8">
              <w:rPr>
                <w:rFonts w:ascii="Calibri" w:hAnsi="Calibri" w:cs="Calibri"/>
                <w:i/>
                <w:lang w:val="en-US"/>
              </w:rPr>
              <w:t xml:space="preserve"> </w:t>
            </w:r>
            <w:proofErr w:type="spellStart"/>
            <w:r w:rsidRPr="00A415D8">
              <w:rPr>
                <w:rFonts w:ascii="Calibri" w:hAnsi="Calibri" w:cs="Calibri"/>
                <w:i/>
                <w:lang w:val="en-US"/>
              </w:rPr>
              <w:t>výdavkov</w:t>
            </w:r>
            <w:proofErr w:type="spellEnd"/>
            <w:r w:rsidRPr="00A415D8">
              <w:rPr>
                <w:rFonts w:ascii="Calibri" w:hAnsi="Calibri" w:cs="Calibri"/>
                <w:i/>
                <w:lang w:val="en-US"/>
              </w:rPr>
              <w:t xml:space="preserve"> </w:t>
            </w:r>
            <w:proofErr w:type="spellStart"/>
            <w:r w:rsidRPr="00A415D8">
              <w:rPr>
                <w:rFonts w:ascii="Calibri" w:hAnsi="Calibri" w:cs="Calibri"/>
                <w:i/>
                <w:lang w:val="en-US"/>
              </w:rPr>
              <w:t>projektu</w:t>
            </w:r>
            <w:proofErr w:type="spellEnd"/>
            <w:r w:rsidRPr="00A415D8">
              <w:rPr>
                <w:rFonts w:ascii="Calibri" w:hAnsi="Calibri" w:cs="Calibri"/>
                <w:i/>
                <w:lang w:val="en-US"/>
              </w:rPr>
              <w:t>.</w:t>
            </w:r>
          </w:p>
        </w:tc>
      </w:tr>
    </w:tbl>
    <w:p w14:paraId="747C098F" w14:textId="77777777" w:rsidR="00B42640" w:rsidRPr="00A415D8" w:rsidRDefault="00B42640" w:rsidP="00B42640">
      <w:pPr>
        <w:keepNext/>
        <w:keepLines/>
        <w:spacing w:line="276" w:lineRule="auto"/>
        <w:jc w:val="both"/>
        <w:rPr>
          <w:rFonts w:ascii="Calibri" w:hAnsi="Calibri" w:cs="Calibri"/>
          <w:sz w:val="20"/>
        </w:rPr>
      </w:pPr>
    </w:p>
    <w:p w14:paraId="55879D92" w14:textId="77777777" w:rsidR="00B42640" w:rsidRPr="00A415D8" w:rsidRDefault="00B42640" w:rsidP="00B42640">
      <w:pPr>
        <w:keepNext/>
        <w:keepLines/>
        <w:spacing w:line="276" w:lineRule="auto"/>
        <w:jc w:val="both"/>
        <w:rPr>
          <w:rFonts w:ascii="Calibri" w:hAnsi="Calibri" w:cs="Calibri"/>
          <w:sz w:val="20"/>
        </w:rPr>
      </w:pPr>
      <w:r w:rsidRPr="00A415D8">
        <w:rPr>
          <w:rFonts w:ascii="Calibri" w:hAnsi="Calibri" w:cs="Calibri"/>
          <w:sz w:val="20"/>
        </w:rPr>
        <w:t>Táto povinnosť sa nevzťahuje na:</w:t>
      </w:r>
    </w:p>
    <w:p w14:paraId="4EB4D629" w14:textId="77777777" w:rsidR="00B42640" w:rsidRPr="00A415D8" w:rsidRDefault="00B42640" w:rsidP="00B42640">
      <w:pPr>
        <w:keepNext/>
        <w:keepLines/>
        <w:numPr>
          <w:ilvl w:val="0"/>
          <w:numId w:val="34"/>
        </w:numPr>
        <w:spacing w:after="0" w:line="276" w:lineRule="auto"/>
        <w:jc w:val="both"/>
        <w:rPr>
          <w:rFonts w:ascii="Calibri" w:hAnsi="Calibri" w:cs="Calibri"/>
          <w:sz w:val="20"/>
        </w:rPr>
      </w:pPr>
      <w:r w:rsidRPr="00A415D8">
        <w:rPr>
          <w:rFonts w:ascii="Calibri" w:hAnsi="Calibri" w:cs="Calibri"/>
          <w:sz w:val="20"/>
        </w:rPr>
        <w:t xml:space="preserve">technickú pomoc; </w:t>
      </w:r>
    </w:p>
    <w:p w14:paraId="0A88C0DC" w14:textId="77777777" w:rsidR="00B42640" w:rsidRPr="00A415D8" w:rsidRDefault="00B42640" w:rsidP="00B42640">
      <w:pPr>
        <w:keepNext/>
        <w:keepLines/>
        <w:numPr>
          <w:ilvl w:val="0"/>
          <w:numId w:val="34"/>
        </w:numPr>
        <w:spacing w:after="0" w:line="276" w:lineRule="auto"/>
        <w:jc w:val="both"/>
        <w:rPr>
          <w:rFonts w:ascii="Calibri" w:hAnsi="Calibri" w:cs="Calibri"/>
          <w:sz w:val="20"/>
        </w:rPr>
      </w:pPr>
      <w:r w:rsidRPr="00A415D8">
        <w:rPr>
          <w:rFonts w:ascii="Calibri" w:hAnsi="Calibri" w:cs="Calibri"/>
          <w:sz w:val="20"/>
        </w:rPr>
        <w:t xml:space="preserve">finančné nástroje; </w:t>
      </w:r>
    </w:p>
    <w:p w14:paraId="3B5B62DB" w14:textId="77777777" w:rsidR="00B42640" w:rsidRPr="00A415D8" w:rsidRDefault="00B42640" w:rsidP="00B42640">
      <w:pPr>
        <w:keepNext/>
        <w:keepLines/>
        <w:numPr>
          <w:ilvl w:val="0"/>
          <w:numId w:val="34"/>
        </w:numPr>
        <w:spacing w:after="0" w:line="276" w:lineRule="auto"/>
        <w:jc w:val="both"/>
        <w:rPr>
          <w:rFonts w:ascii="Calibri" w:hAnsi="Calibri" w:cs="Calibri"/>
          <w:sz w:val="20"/>
        </w:rPr>
      </w:pPr>
      <w:r w:rsidRPr="00A415D8">
        <w:rPr>
          <w:rFonts w:ascii="Calibri" w:hAnsi="Calibri" w:cs="Calibri"/>
          <w:sz w:val="20"/>
        </w:rPr>
        <w:t xml:space="preserve">návratnú pomoc, na ktorú sa vzťahuje povinnosť úplného splatenia; </w:t>
      </w:r>
    </w:p>
    <w:p w14:paraId="3BEC4878" w14:textId="77777777" w:rsidR="00B42640" w:rsidRPr="00A415D8" w:rsidRDefault="00B42640" w:rsidP="00B42640">
      <w:pPr>
        <w:keepNext/>
        <w:keepLines/>
        <w:numPr>
          <w:ilvl w:val="0"/>
          <w:numId w:val="34"/>
        </w:numPr>
        <w:spacing w:after="0" w:line="276" w:lineRule="auto"/>
        <w:jc w:val="both"/>
        <w:rPr>
          <w:rFonts w:ascii="Calibri" w:hAnsi="Calibri" w:cs="Calibri"/>
          <w:sz w:val="20"/>
        </w:rPr>
      </w:pPr>
      <w:r w:rsidRPr="00A415D8">
        <w:rPr>
          <w:rFonts w:ascii="Calibri" w:hAnsi="Calibri" w:cs="Calibri"/>
          <w:sz w:val="20"/>
        </w:rPr>
        <w:t xml:space="preserve">ceny; </w:t>
      </w:r>
    </w:p>
    <w:p w14:paraId="72A5066C" w14:textId="77777777" w:rsidR="00B42640" w:rsidRPr="00A415D8" w:rsidRDefault="00B42640" w:rsidP="00B42640">
      <w:pPr>
        <w:keepNext/>
        <w:keepLines/>
        <w:numPr>
          <w:ilvl w:val="0"/>
          <w:numId w:val="34"/>
        </w:numPr>
        <w:spacing w:after="0" w:line="276" w:lineRule="auto"/>
        <w:jc w:val="both"/>
        <w:rPr>
          <w:rFonts w:ascii="Calibri" w:hAnsi="Calibri" w:cs="Calibri"/>
          <w:sz w:val="20"/>
        </w:rPr>
      </w:pPr>
      <w:r w:rsidRPr="00A415D8">
        <w:rPr>
          <w:rFonts w:ascii="Calibri" w:hAnsi="Calibri" w:cs="Calibri"/>
          <w:sz w:val="20"/>
        </w:rPr>
        <w:t xml:space="preserve">operácie, na ktoré sa vzťahujú pravidlá o štátnej pomoci; </w:t>
      </w:r>
    </w:p>
    <w:p w14:paraId="3FF44D7A" w14:textId="77777777" w:rsidR="00B42640" w:rsidRPr="00A415D8" w:rsidRDefault="00B42640" w:rsidP="00B42640">
      <w:pPr>
        <w:keepNext/>
        <w:keepLines/>
        <w:numPr>
          <w:ilvl w:val="0"/>
          <w:numId w:val="34"/>
        </w:numPr>
        <w:spacing w:after="0" w:line="276" w:lineRule="auto"/>
        <w:jc w:val="both"/>
        <w:rPr>
          <w:rFonts w:ascii="Calibri" w:hAnsi="Calibri" w:cs="Calibri"/>
          <w:sz w:val="20"/>
        </w:rPr>
      </w:pPr>
      <w:r w:rsidRPr="00A415D8">
        <w:rPr>
          <w:rFonts w:ascii="Calibri" w:hAnsi="Calibri" w:cs="Calibri"/>
          <w:sz w:val="20"/>
        </w:rPr>
        <w:t xml:space="preserve">projekty, v súvislosti s ktorými sa verejná podpora poskytuje vo forme paušálnych súm alebo štandardnej stupnice jednotkových výdavkov pod podmienkou, že  čisté príjmy sa vzali do úvahy ex </w:t>
      </w:r>
      <w:proofErr w:type="spellStart"/>
      <w:r w:rsidRPr="00A415D8">
        <w:rPr>
          <w:rFonts w:ascii="Calibri" w:hAnsi="Calibri" w:cs="Calibri"/>
          <w:sz w:val="20"/>
        </w:rPr>
        <w:t>ante</w:t>
      </w:r>
      <w:proofErr w:type="spellEnd"/>
      <w:r w:rsidRPr="00A415D8">
        <w:rPr>
          <w:rFonts w:ascii="Calibri" w:hAnsi="Calibri" w:cs="Calibri"/>
          <w:sz w:val="20"/>
        </w:rPr>
        <w:t xml:space="preserve">, </w:t>
      </w:r>
    </w:p>
    <w:p w14:paraId="1A4D1F0F" w14:textId="77777777" w:rsidR="00B42640" w:rsidRPr="00A415D8" w:rsidRDefault="00B42640" w:rsidP="00CB3077">
      <w:pPr>
        <w:keepNext/>
        <w:keepLines/>
        <w:numPr>
          <w:ilvl w:val="0"/>
          <w:numId w:val="34"/>
        </w:numPr>
        <w:spacing w:after="0" w:line="276" w:lineRule="auto"/>
        <w:jc w:val="both"/>
        <w:rPr>
          <w:rFonts w:ascii="Calibri" w:hAnsi="Calibri" w:cs="Calibri"/>
          <w:sz w:val="20"/>
        </w:rPr>
      </w:pPr>
      <w:r w:rsidRPr="00A415D8">
        <w:rPr>
          <w:rFonts w:ascii="Calibri" w:hAnsi="Calibri" w:cs="Calibri"/>
          <w:sz w:val="20"/>
        </w:rPr>
        <w:t xml:space="preserve">projekty realizované v rámci spoločného akčného plánu pod podmienkou, že  čisté príjmy sa vzali do úvahy ex </w:t>
      </w:r>
      <w:proofErr w:type="spellStart"/>
      <w:r w:rsidRPr="00A415D8">
        <w:rPr>
          <w:rFonts w:ascii="Calibri" w:hAnsi="Calibri" w:cs="Calibri"/>
          <w:sz w:val="20"/>
        </w:rPr>
        <w:t>ante</w:t>
      </w:r>
      <w:proofErr w:type="spellEnd"/>
      <w:r w:rsidRPr="00A415D8">
        <w:rPr>
          <w:rFonts w:ascii="Calibri" w:hAnsi="Calibri" w:cs="Calibri"/>
          <w:sz w:val="20"/>
        </w:rPr>
        <w:t>;</w:t>
      </w:r>
    </w:p>
    <w:p w14:paraId="1BAD3ED8" w14:textId="77777777" w:rsidR="00B42640" w:rsidRPr="00A415D8" w:rsidRDefault="00B42640" w:rsidP="00CB3077">
      <w:pPr>
        <w:keepNext/>
        <w:keepLines/>
        <w:numPr>
          <w:ilvl w:val="0"/>
          <w:numId w:val="34"/>
        </w:numPr>
        <w:spacing w:after="0" w:line="276" w:lineRule="auto"/>
        <w:jc w:val="both"/>
        <w:rPr>
          <w:rFonts w:ascii="Calibri" w:hAnsi="Calibri" w:cs="Calibri"/>
          <w:sz w:val="20"/>
        </w:rPr>
      </w:pPr>
      <w:r w:rsidRPr="00A415D8">
        <w:rPr>
          <w:rFonts w:ascii="Calibri" w:hAnsi="Calibri" w:cs="Calibri"/>
          <w:sz w:val="20"/>
        </w:rPr>
        <w:t>projekty, ktorých celkové oprávnené výdavky nepresahujú 100 000 EUR.</w:t>
      </w:r>
    </w:p>
    <w:p w14:paraId="55E1F717" w14:textId="77777777" w:rsidR="008322CE" w:rsidRDefault="008322CE" w:rsidP="00CB3077">
      <w:pPr>
        <w:keepNext/>
        <w:keepLines/>
        <w:spacing w:line="276" w:lineRule="auto"/>
        <w:jc w:val="both"/>
        <w:rPr>
          <w:rFonts w:ascii="Calibri" w:hAnsi="Calibri" w:cs="Calibri"/>
          <w:sz w:val="20"/>
        </w:rPr>
      </w:pPr>
    </w:p>
    <w:p w14:paraId="6050A761" w14:textId="4E16A5C3"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V prípade vzniku povinnosti vrátenia iných peňažných príjmov vzniknutých počas realizácie projektu je prijímateľ povinný:</w:t>
      </w:r>
    </w:p>
    <w:p w14:paraId="113215F3" w14:textId="1F36C0FF" w:rsidR="00B42640" w:rsidRPr="00A415D8" w:rsidRDefault="00B42640" w:rsidP="00CB3077">
      <w:pPr>
        <w:keepNext/>
        <w:keepLines/>
        <w:numPr>
          <w:ilvl w:val="0"/>
          <w:numId w:val="35"/>
        </w:numPr>
        <w:spacing w:after="0" w:line="276" w:lineRule="auto"/>
        <w:jc w:val="both"/>
        <w:rPr>
          <w:rFonts w:ascii="Calibri" w:hAnsi="Calibri" w:cs="Calibri"/>
          <w:sz w:val="20"/>
        </w:rPr>
      </w:pPr>
      <w:r w:rsidRPr="00A415D8">
        <w:rPr>
          <w:rFonts w:ascii="Calibri" w:hAnsi="Calibri" w:cs="Calibri"/>
          <w:sz w:val="20"/>
        </w:rPr>
        <w:t>vrátiť čistý príjem, a to najneskôr ku dňu schválenia žiadosti o platbu (s p</w:t>
      </w:r>
      <w:r w:rsidR="00625476">
        <w:rPr>
          <w:rFonts w:ascii="Calibri" w:hAnsi="Calibri" w:cs="Calibri"/>
          <w:sz w:val="20"/>
        </w:rPr>
        <w:t>ríznakom záverečná) zo strany SO</w:t>
      </w:r>
      <w:r w:rsidRPr="00A415D8">
        <w:rPr>
          <w:rFonts w:ascii="Calibri" w:hAnsi="Calibri" w:cs="Calibri"/>
          <w:sz w:val="20"/>
        </w:rPr>
        <w:t>, v takom prípade prijímateľ bezodkladne (</w:t>
      </w:r>
      <w:proofErr w:type="spellStart"/>
      <w:r w:rsidRPr="00A415D8">
        <w:rPr>
          <w:rFonts w:ascii="Calibri" w:hAnsi="Calibri" w:cs="Calibri"/>
          <w:sz w:val="20"/>
        </w:rPr>
        <w:t>t.j</w:t>
      </w:r>
      <w:proofErr w:type="spellEnd"/>
      <w:r w:rsidRPr="00A415D8">
        <w:rPr>
          <w:rFonts w:ascii="Calibri" w:hAnsi="Calibri" w:cs="Calibri"/>
          <w:sz w:val="20"/>
        </w:rPr>
        <w:t>. do 7 pracovných dní od kedy sa o tejto sk</w:t>
      </w:r>
      <w:r w:rsidR="00625476">
        <w:rPr>
          <w:rFonts w:ascii="Calibri" w:hAnsi="Calibri" w:cs="Calibri"/>
          <w:sz w:val="20"/>
        </w:rPr>
        <w:t xml:space="preserve">utočnosti dozvedel), požiada SO </w:t>
      </w:r>
      <w:r w:rsidRPr="00A415D8">
        <w:rPr>
          <w:rFonts w:ascii="Calibri" w:hAnsi="Calibri" w:cs="Calibri"/>
          <w:sz w:val="20"/>
        </w:rPr>
        <w:t>o informáciu k podrobnostiam vrátenia čistého príjmu (napr. čísla účt</w:t>
      </w:r>
      <w:r w:rsidR="00625476">
        <w:rPr>
          <w:rFonts w:ascii="Calibri" w:hAnsi="Calibri" w:cs="Calibri"/>
          <w:sz w:val="20"/>
        </w:rPr>
        <w:t>ov, variabilný symbol) a SO</w:t>
      </w:r>
      <w:r w:rsidRPr="00A415D8">
        <w:rPr>
          <w:rFonts w:ascii="Calibri" w:hAnsi="Calibri" w:cs="Calibri"/>
          <w:sz w:val="20"/>
        </w:rPr>
        <w:t xml:space="preserve"> zašle túto informáciu prijímateľovi bezodkladne v písomnej forme (listom alebo elektronicky e-mailom)  alebo</w:t>
      </w:r>
    </w:p>
    <w:p w14:paraId="6A53CD18" w14:textId="0B5B9DC8" w:rsidR="00B42640" w:rsidRPr="00CB3077" w:rsidRDefault="00B42640" w:rsidP="00227B87">
      <w:pPr>
        <w:keepNext/>
        <w:keepLines/>
        <w:numPr>
          <w:ilvl w:val="0"/>
          <w:numId w:val="35"/>
        </w:numPr>
        <w:spacing w:after="0" w:line="276" w:lineRule="auto"/>
        <w:jc w:val="both"/>
        <w:rPr>
          <w:rFonts w:ascii="Calibri" w:hAnsi="Calibri" w:cs="Calibri"/>
          <w:sz w:val="20"/>
        </w:rPr>
      </w:pPr>
      <w:r w:rsidRPr="00CB3077">
        <w:rPr>
          <w:rFonts w:ascii="Calibri" w:hAnsi="Calibri" w:cs="Calibri"/>
          <w:sz w:val="20"/>
        </w:rPr>
        <w:lastRenderedPageBreak/>
        <w:t>požiadať o vzájomné započítanie pohľadávok a záväzkov (v tomto prípade vykázaného iné peňažného  príjmu) najneskôr v žiadosti o platbu (s príznakom záverečná), tzn. odpočítať od op</w:t>
      </w:r>
      <w:r w:rsidR="00625476" w:rsidRPr="00CB3077">
        <w:rPr>
          <w:rFonts w:ascii="Calibri" w:hAnsi="Calibri" w:cs="Calibri"/>
          <w:sz w:val="20"/>
        </w:rPr>
        <w:t xml:space="preserve">rávnených výdavkov projektu, SO </w:t>
      </w:r>
      <w:r w:rsidRPr="00CB3077">
        <w:rPr>
          <w:rFonts w:ascii="Calibri" w:hAnsi="Calibri" w:cs="Calibri"/>
          <w:sz w:val="20"/>
        </w:rPr>
        <w:t>na základe žiadosti prijímateľa poskytne usmernenie o spôsobe vzájomného započítania pohľadávok a záväzkov.</w:t>
      </w:r>
      <w:r w:rsidR="00CB3077">
        <w:rPr>
          <w:rFonts w:ascii="Calibri" w:hAnsi="Calibri" w:cs="Calibri"/>
          <w:sz w:val="20"/>
        </w:rPr>
        <w:t xml:space="preserve"> </w:t>
      </w:r>
      <w:r w:rsidRPr="00CB3077">
        <w:rPr>
          <w:rFonts w:ascii="Calibri" w:hAnsi="Calibri" w:cs="Calibri"/>
          <w:sz w:val="20"/>
        </w:rPr>
        <w:t>Prijímateľ postupuje pri vysporiadaní čistého príjmu vzniknutého v rámci realiz</w:t>
      </w:r>
      <w:r w:rsidR="007D525C">
        <w:rPr>
          <w:rFonts w:ascii="Calibri" w:hAnsi="Calibri" w:cs="Calibri"/>
          <w:sz w:val="20"/>
        </w:rPr>
        <w:t>ácie projektu v súlade s VZP</w:t>
      </w:r>
      <w:r w:rsidRPr="00CB3077">
        <w:rPr>
          <w:rFonts w:ascii="Calibri" w:hAnsi="Calibri" w:cs="Calibri"/>
          <w:sz w:val="20"/>
        </w:rPr>
        <w:t xml:space="preserve"> zmluvy o poskytnutí NFP. </w:t>
      </w:r>
    </w:p>
    <w:p w14:paraId="2BF00748" w14:textId="77777777" w:rsidR="00B42640" w:rsidRPr="00A415D8" w:rsidRDefault="00B42640" w:rsidP="00CB3077">
      <w:pPr>
        <w:keepNext/>
        <w:keepLines/>
        <w:spacing w:line="276" w:lineRule="auto"/>
        <w:jc w:val="both"/>
        <w:rPr>
          <w:rFonts w:ascii="Calibri" w:hAnsi="Calibri" w:cs="Calibri"/>
          <w:sz w:val="20"/>
        </w:rPr>
      </w:pPr>
      <w:bookmarkStart w:id="14" w:name="_Toc469685701"/>
    </w:p>
    <w:p w14:paraId="32542EC6" w14:textId="77777777" w:rsidR="00B42640" w:rsidRPr="00A415D8" w:rsidRDefault="00B42640" w:rsidP="00CB3077">
      <w:pPr>
        <w:keepNext/>
        <w:keepLines/>
        <w:spacing w:after="120" w:line="276" w:lineRule="auto"/>
        <w:jc w:val="both"/>
        <w:outlineLvl w:val="2"/>
        <w:rPr>
          <w:rFonts w:ascii="Calibri" w:hAnsi="Calibri" w:cs="Calibri"/>
          <w:b/>
          <w:color w:val="1F497D"/>
          <w:sz w:val="20"/>
        </w:rPr>
      </w:pPr>
      <w:bookmarkStart w:id="15" w:name="_Rekalkulácia_finančnej_medzery"/>
      <w:bookmarkStart w:id="16" w:name="_Toc469685703"/>
      <w:bookmarkEnd w:id="14"/>
      <w:bookmarkEnd w:id="15"/>
      <w:r w:rsidRPr="00A415D8">
        <w:rPr>
          <w:rFonts w:ascii="Calibri" w:hAnsi="Calibri" w:cs="Calibri"/>
          <w:b/>
          <w:color w:val="1F497D"/>
          <w:sz w:val="20"/>
        </w:rPr>
        <w:t>Monitorovanie príjmov projektu v období udržateľnosti</w:t>
      </w:r>
      <w:bookmarkEnd w:id="16"/>
    </w:p>
    <w:p w14:paraId="62931EB2" w14:textId="07A08913"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 xml:space="preserve">Povinnosť monitorovať príjmy projektu sa vzťahuje na projekty vytvárajúce čistý príjem počas stanoveného referenčného obdobia, ktorých celkové oprávnené výdavky sú vyššie ako 1 000 000 Eur. </w:t>
      </w:r>
    </w:p>
    <w:p w14:paraId="410D786B" w14:textId="3402842E"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Obdobím monitorovania čistých príjmov pre projekty, kde je možné odhadnúť príjmy vopred je obdobie udržateľnosti projektu, najneskôr však do predloženia dokladov pre uzavretie programu</w:t>
      </w:r>
      <w:r w:rsidR="007D525C">
        <w:rPr>
          <w:rFonts w:ascii="Calibri" w:hAnsi="Calibri" w:cs="Calibri"/>
          <w:sz w:val="20"/>
        </w:rPr>
        <w:t xml:space="preserve"> Slovensko</w:t>
      </w:r>
      <w:r w:rsidRPr="00A415D8">
        <w:rPr>
          <w:rFonts w:ascii="Calibri" w:hAnsi="Calibri" w:cs="Calibri"/>
          <w:sz w:val="20"/>
        </w:rPr>
        <w:t>, podľa toho čo nastane skôr.</w:t>
      </w:r>
    </w:p>
    <w:p w14:paraId="4974BFC6" w14:textId="4F65B990"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P</w:t>
      </w:r>
      <w:r w:rsidR="00EF4209">
        <w:rPr>
          <w:rFonts w:ascii="Calibri" w:hAnsi="Calibri" w:cs="Calibri"/>
          <w:sz w:val="20"/>
        </w:rPr>
        <w:t xml:space="preserve">rijímateľ je povinný podávať SO </w:t>
      </w:r>
      <w:r w:rsidRPr="00A415D8">
        <w:rPr>
          <w:rFonts w:ascii="Calibri" w:hAnsi="Calibri" w:cs="Calibri"/>
          <w:sz w:val="20"/>
        </w:rPr>
        <w:t>informácie o výške skutočne vytvorených čistých príjmov v o</w:t>
      </w:r>
      <w:r w:rsidR="00E0417C">
        <w:rPr>
          <w:rFonts w:ascii="Calibri" w:hAnsi="Calibri" w:cs="Calibri"/>
          <w:sz w:val="20"/>
        </w:rPr>
        <w:t xml:space="preserve">bdobí udržateľnosti, a to </w:t>
      </w:r>
      <w:r w:rsidRPr="00A415D8">
        <w:rPr>
          <w:rFonts w:ascii="Calibri" w:hAnsi="Calibri" w:cs="Calibri"/>
          <w:sz w:val="20"/>
        </w:rPr>
        <w:t xml:space="preserve">prostredníctvom </w:t>
      </w:r>
      <w:r w:rsidR="00E0417C">
        <w:rPr>
          <w:rFonts w:ascii="Calibri" w:hAnsi="Calibri" w:cs="Calibri"/>
          <w:sz w:val="20"/>
        </w:rPr>
        <w:t>zmeny projektu typu Monitorovanie</w:t>
      </w:r>
      <w:r w:rsidR="00E0417C">
        <w:rPr>
          <w:rFonts w:ascii="Calibri" w:hAnsi="Calibri" w:cs="Calibri"/>
          <w:b/>
          <w:sz w:val="20"/>
        </w:rPr>
        <w:t xml:space="preserve"> </w:t>
      </w:r>
      <w:r w:rsidRPr="00A415D8">
        <w:rPr>
          <w:rFonts w:ascii="Calibri" w:hAnsi="Calibri" w:cs="Calibri"/>
          <w:sz w:val="20"/>
        </w:rPr>
        <w:t>po</w:t>
      </w:r>
      <w:r w:rsidR="00E0417C">
        <w:rPr>
          <w:rFonts w:ascii="Calibri" w:hAnsi="Calibri" w:cs="Calibri"/>
          <w:sz w:val="20"/>
        </w:rPr>
        <w:t xml:space="preserve"> ukončení realizácie projektu po</w:t>
      </w:r>
      <w:r w:rsidRPr="00A415D8">
        <w:rPr>
          <w:rFonts w:ascii="Calibri" w:hAnsi="Calibri" w:cs="Calibri"/>
          <w:sz w:val="20"/>
        </w:rPr>
        <w:t xml:space="preserve"> dobu </w:t>
      </w:r>
      <w:r w:rsidRPr="00A415D8">
        <w:rPr>
          <w:rFonts w:ascii="Calibri" w:hAnsi="Calibri" w:cs="Calibri"/>
          <w:b/>
          <w:sz w:val="20"/>
        </w:rPr>
        <w:t>troch rokov</w:t>
      </w:r>
      <w:r w:rsidRPr="00A415D8">
        <w:rPr>
          <w:rFonts w:ascii="Calibri" w:hAnsi="Calibri" w:cs="Calibri"/>
          <w:sz w:val="20"/>
        </w:rPr>
        <w:t xml:space="preserve"> </w:t>
      </w:r>
      <w:r w:rsidRPr="00A415D8">
        <w:rPr>
          <w:rFonts w:ascii="Calibri" w:hAnsi="Calibri" w:cs="Calibri"/>
          <w:b/>
          <w:sz w:val="20"/>
        </w:rPr>
        <w:t>od ukončenia realizácie projektu</w:t>
      </w:r>
      <w:r w:rsidRPr="00A415D8">
        <w:rPr>
          <w:rFonts w:ascii="Calibri" w:hAnsi="Calibri" w:cs="Calibri"/>
          <w:sz w:val="20"/>
        </w:rPr>
        <w:t xml:space="preserve">. Uplynutím týchto troch rokov však monitorovanie projektu pre prijímateľa nekončí. Za účelom preukázania celkovej udržateľnosti projektu, prijímateľ pokračuje v predkladaní ďalších </w:t>
      </w:r>
      <w:r w:rsidR="00E0417C">
        <w:rPr>
          <w:rFonts w:ascii="Calibri" w:hAnsi="Calibri" w:cs="Calibri"/>
          <w:sz w:val="20"/>
        </w:rPr>
        <w:t>zmien projektu typu Monitorovanie</w:t>
      </w:r>
      <w:r w:rsidRPr="00A415D8">
        <w:rPr>
          <w:rFonts w:ascii="Calibri" w:hAnsi="Calibri" w:cs="Calibri"/>
          <w:sz w:val="20"/>
        </w:rPr>
        <w:t xml:space="preserve">, a to v zmysle zmluvy o poskytnutí NFP. </w:t>
      </w:r>
    </w:p>
    <w:p w14:paraId="36D6B497" w14:textId="7F176530"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Údaje týkajúce sa príjmov projektu sa vypĺňajú v </w:t>
      </w:r>
      <w:r w:rsidR="00E0417C">
        <w:rPr>
          <w:rFonts w:ascii="Calibri" w:hAnsi="Calibri" w:cs="Calibri"/>
          <w:sz w:val="20"/>
        </w:rPr>
        <w:t>z</w:t>
      </w:r>
      <w:r w:rsidR="00E0417C">
        <w:rPr>
          <w:rFonts w:ascii="Calibri" w:hAnsi="Calibri" w:cs="Calibri"/>
          <w:sz w:val="20"/>
        </w:rPr>
        <w:t>mene</w:t>
      </w:r>
      <w:r w:rsidR="00E0417C">
        <w:rPr>
          <w:rFonts w:ascii="Calibri" w:hAnsi="Calibri" w:cs="Calibri"/>
          <w:sz w:val="20"/>
        </w:rPr>
        <w:t xml:space="preserve"> projektu typu Monitorovanie</w:t>
      </w:r>
      <w:r w:rsidR="00E0417C">
        <w:rPr>
          <w:rFonts w:ascii="Calibri" w:hAnsi="Calibri" w:cs="Calibri"/>
          <w:sz w:val="20"/>
        </w:rPr>
        <w:t xml:space="preserve"> po ukončení realizácie projektu</w:t>
      </w:r>
      <w:r w:rsidRPr="00A415D8">
        <w:rPr>
          <w:rFonts w:ascii="Calibri" w:hAnsi="Calibri" w:cs="Calibri"/>
          <w:sz w:val="20"/>
        </w:rPr>
        <w:t>.</w:t>
      </w:r>
      <w:r w:rsidR="007D525C">
        <w:rPr>
          <w:rFonts w:ascii="Calibri" w:hAnsi="Calibri" w:cs="Calibri"/>
          <w:sz w:val="20"/>
        </w:rPr>
        <w:t xml:space="preserve"> </w:t>
      </w:r>
      <w:r w:rsidRPr="00A415D8">
        <w:rPr>
          <w:rFonts w:ascii="Calibri" w:hAnsi="Calibri" w:cs="Calibri"/>
          <w:sz w:val="20"/>
        </w:rPr>
        <w:t xml:space="preserve">Údaje týkajúce sa príjmov projektu uvádzajú reálne hodnoty príjmov a prevádzkových výdavkov počas daného monitorovaného obdobia projektov generujúcich čistý príjem. Ako rozdiel hodnôt príjmov a prevádzkových výdavkov sa uvedie hodnota čistých príjmov v monitorovanom období. V prípade, že sa monitorované obdobie prekrýva s posledným referenčným rokom finančnej analýzy (CBA), navýšia sa čisté príjmy o prípadnú zostatkovú hodnotu investície. V poslednom riadku sa uvedú kumulované čisté príjmy od začiatku investície.  </w:t>
      </w:r>
      <w:r w:rsidR="007D525C">
        <w:rPr>
          <w:rFonts w:ascii="Calibri" w:hAnsi="Calibri" w:cs="Calibri"/>
          <w:sz w:val="20"/>
        </w:rPr>
        <w:t xml:space="preserve">Údaje </w:t>
      </w:r>
      <w:r w:rsidR="00E0417C">
        <w:rPr>
          <w:rFonts w:ascii="Calibri" w:hAnsi="Calibri" w:cs="Calibri"/>
          <w:sz w:val="20"/>
        </w:rPr>
        <w:t xml:space="preserve">zo zmien projektu typu Monitorovanie </w:t>
      </w:r>
      <w:r w:rsidR="00E0417C">
        <w:rPr>
          <w:rFonts w:ascii="Calibri" w:hAnsi="Calibri" w:cs="Calibri"/>
          <w:sz w:val="20"/>
        </w:rPr>
        <w:t xml:space="preserve">po ukončení realizácie projektu sú </w:t>
      </w:r>
      <w:r w:rsidRPr="00A415D8">
        <w:rPr>
          <w:rFonts w:ascii="Calibri" w:hAnsi="Calibri" w:cs="Calibri"/>
          <w:sz w:val="20"/>
        </w:rPr>
        <w:t>relevantn</w:t>
      </w:r>
      <w:r w:rsidR="007D525C">
        <w:rPr>
          <w:rFonts w:ascii="Calibri" w:hAnsi="Calibri" w:cs="Calibri"/>
          <w:sz w:val="20"/>
        </w:rPr>
        <w:t>é</w:t>
      </w:r>
      <w:r w:rsidRPr="00A415D8">
        <w:rPr>
          <w:rFonts w:ascii="Calibri" w:hAnsi="Calibri" w:cs="Calibri"/>
          <w:sz w:val="20"/>
        </w:rPr>
        <w:t xml:space="preserve"> predovšetkým pre posúdenie potreby </w:t>
      </w:r>
      <w:proofErr w:type="spellStart"/>
      <w:r w:rsidRPr="00A415D8">
        <w:rPr>
          <w:rFonts w:ascii="Calibri" w:hAnsi="Calibri" w:cs="Calibri"/>
          <w:sz w:val="20"/>
        </w:rPr>
        <w:t>rekalkulácie</w:t>
      </w:r>
      <w:proofErr w:type="spellEnd"/>
      <w:r w:rsidRPr="00A415D8">
        <w:rPr>
          <w:rFonts w:ascii="Calibri" w:hAnsi="Calibri" w:cs="Calibri"/>
          <w:sz w:val="20"/>
        </w:rPr>
        <w:t xml:space="preserve"> finančnej medzery a prípadného vrátenia ča</w:t>
      </w:r>
      <w:r w:rsidR="00EF4209">
        <w:rPr>
          <w:rFonts w:ascii="Calibri" w:hAnsi="Calibri" w:cs="Calibri"/>
          <w:sz w:val="20"/>
        </w:rPr>
        <w:t xml:space="preserve">sti NFP. SO </w:t>
      </w:r>
      <w:r w:rsidRPr="00A415D8">
        <w:rPr>
          <w:rFonts w:ascii="Calibri" w:hAnsi="Calibri" w:cs="Calibri"/>
          <w:sz w:val="20"/>
        </w:rPr>
        <w:t xml:space="preserve">je oprávnený si od prijímateľa vyžiadať aj zaslanie účtovných záznamov k projektu ako prílohu </w:t>
      </w:r>
      <w:r w:rsidR="00E0417C">
        <w:rPr>
          <w:rFonts w:ascii="Calibri" w:hAnsi="Calibri" w:cs="Calibri"/>
          <w:sz w:val="20"/>
        </w:rPr>
        <w:t>z</w:t>
      </w:r>
      <w:r w:rsidR="00E0417C">
        <w:rPr>
          <w:rFonts w:ascii="Calibri" w:hAnsi="Calibri" w:cs="Calibri"/>
          <w:sz w:val="20"/>
        </w:rPr>
        <w:t>meny</w:t>
      </w:r>
      <w:r w:rsidR="00E0417C">
        <w:rPr>
          <w:rFonts w:ascii="Calibri" w:hAnsi="Calibri" w:cs="Calibri"/>
          <w:sz w:val="20"/>
        </w:rPr>
        <w:t xml:space="preserve"> projektu typu Monitorovanie</w:t>
      </w:r>
      <w:r w:rsidR="00E0417C">
        <w:rPr>
          <w:rFonts w:ascii="Calibri" w:hAnsi="Calibri" w:cs="Calibri"/>
          <w:sz w:val="20"/>
        </w:rPr>
        <w:t xml:space="preserve"> po ukončení realizácie projektu. </w:t>
      </w:r>
    </w:p>
    <w:p w14:paraId="17D7CD43" w14:textId="0E3313EC" w:rsidR="00B42640" w:rsidRPr="00A415D8" w:rsidRDefault="001042C7" w:rsidP="00CB3077">
      <w:pPr>
        <w:keepNext/>
        <w:keepLines/>
        <w:spacing w:line="276" w:lineRule="auto"/>
        <w:jc w:val="both"/>
        <w:rPr>
          <w:rFonts w:ascii="Calibri" w:hAnsi="Calibri" w:cs="Calibri"/>
          <w:sz w:val="20"/>
        </w:rPr>
      </w:pPr>
      <w:r>
        <w:rPr>
          <w:rFonts w:ascii="Calibri" w:hAnsi="Calibri" w:cs="Calibri"/>
          <w:sz w:val="20"/>
        </w:rPr>
        <w:t>Prijímateľ je pri zmene projektu typu Monitorovanie po ukončení realizácie projektu</w:t>
      </w:r>
      <w:r w:rsidR="00B42640" w:rsidRPr="00A415D8">
        <w:rPr>
          <w:rFonts w:ascii="Calibri" w:hAnsi="Calibri" w:cs="Calibri"/>
          <w:sz w:val="20"/>
        </w:rPr>
        <w:t xml:space="preserve"> povinný taktiež špecifikovať:</w:t>
      </w:r>
    </w:p>
    <w:p w14:paraId="4CEA462D" w14:textId="78192E7D" w:rsidR="00B42640" w:rsidRPr="00A415D8" w:rsidRDefault="00B42640" w:rsidP="00CB3077">
      <w:pPr>
        <w:keepNext/>
        <w:keepLines/>
        <w:numPr>
          <w:ilvl w:val="0"/>
          <w:numId w:val="37"/>
        </w:numPr>
        <w:spacing w:after="0" w:line="276" w:lineRule="auto"/>
        <w:jc w:val="both"/>
        <w:rPr>
          <w:rFonts w:ascii="Calibri" w:hAnsi="Calibri" w:cs="Calibri"/>
          <w:sz w:val="20"/>
        </w:rPr>
      </w:pPr>
      <w:r w:rsidRPr="00A415D8">
        <w:rPr>
          <w:rFonts w:ascii="Calibri" w:hAnsi="Calibri" w:cs="Calibri"/>
          <w:sz w:val="20"/>
        </w:rPr>
        <w:t>všetky nové príjmy, ktoré neboli zohľadnené pri analýze, vypracovanej vo fáze konania žiadosti o NFP, pri výpočte finančnej medzery, ktoré spĺ</w:t>
      </w:r>
      <w:r w:rsidR="007D525C">
        <w:rPr>
          <w:rFonts w:ascii="Calibri" w:hAnsi="Calibri" w:cs="Calibri"/>
          <w:sz w:val="20"/>
        </w:rPr>
        <w:t>ňajú podmienky príjmov</w:t>
      </w:r>
      <w:r w:rsidRPr="00A415D8">
        <w:rPr>
          <w:rFonts w:ascii="Calibri" w:hAnsi="Calibri" w:cs="Calibri"/>
          <w:sz w:val="20"/>
        </w:rPr>
        <w:t>, prípadné úspory prevádzkových výdavkov vytvorených projektom, a/alebo</w:t>
      </w:r>
    </w:p>
    <w:p w14:paraId="52930716" w14:textId="77777777" w:rsidR="00B42640" w:rsidRPr="00A415D8" w:rsidRDefault="00B42640" w:rsidP="00CB3077">
      <w:pPr>
        <w:keepNext/>
        <w:keepLines/>
        <w:numPr>
          <w:ilvl w:val="0"/>
          <w:numId w:val="37"/>
        </w:numPr>
        <w:spacing w:after="0" w:line="276" w:lineRule="auto"/>
        <w:jc w:val="both"/>
        <w:rPr>
          <w:rFonts w:ascii="Calibri" w:hAnsi="Calibri" w:cs="Calibri"/>
          <w:sz w:val="20"/>
        </w:rPr>
      </w:pPr>
      <w:r w:rsidRPr="00A415D8">
        <w:rPr>
          <w:rFonts w:ascii="Calibri" w:hAnsi="Calibri" w:cs="Calibri"/>
          <w:sz w:val="20"/>
        </w:rPr>
        <w:t>zmeny v použitej tarifnej (cenovej) politike, ak došlo k výrazným zmenám v použitej tarifnej (cenovej) politike od momentu vydania rozhodnutia o poskytnutí NFP.</w:t>
      </w:r>
    </w:p>
    <w:p w14:paraId="6D83AF8E" w14:textId="77777777" w:rsidR="00B42640" w:rsidRPr="00A415D8" w:rsidRDefault="00B42640" w:rsidP="00CB3077">
      <w:pPr>
        <w:keepNext/>
        <w:keepLines/>
        <w:spacing w:line="276" w:lineRule="auto"/>
        <w:jc w:val="both"/>
        <w:rPr>
          <w:rFonts w:ascii="Calibri" w:hAnsi="Calibri" w:cs="Calibri"/>
          <w:sz w:val="20"/>
        </w:rPr>
      </w:pPr>
    </w:p>
    <w:p w14:paraId="6FF2CF3F" w14:textId="77777777" w:rsidR="00B42640" w:rsidRPr="00A415D8" w:rsidRDefault="00B42640" w:rsidP="00CB3077">
      <w:pPr>
        <w:keepNext/>
        <w:keepLines/>
        <w:spacing w:line="276" w:lineRule="auto"/>
        <w:jc w:val="both"/>
        <w:rPr>
          <w:rFonts w:ascii="Calibri" w:hAnsi="Calibri" w:cs="Calibri"/>
          <w:b/>
          <w:sz w:val="20"/>
          <w:u w:val="single"/>
        </w:rPr>
      </w:pPr>
      <w:bookmarkStart w:id="17" w:name="_Toc469685704"/>
      <w:r w:rsidRPr="00A415D8">
        <w:rPr>
          <w:rFonts w:ascii="Calibri" w:hAnsi="Calibri" w:cs="Calibri"/>
          <w:b/>
          <w:sz w:val="20"/>
          <w:u w:val="single"/>
        </w:rPr>
        <w:t>Vysporiadanie čistého príjmu (po ukončení projektu)</w:t>
      </w:r>
      <w:bookmarkEnd w:id="17"/>
    </w:p>
    <w:p w14:paraId="51059D0C" w14:textId="77777777"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 xml:space="preserve">V prípade vzniku povinnosti vrátenia čistého príjmu počas následného monitorovacieho obdobia projektu je prijímateľ povinný: </w:t>
      </w:r>
    </w:p>
    <w:p w14:paraId="7FB85C14" w14:textId="6B65233F" w:rsidR="00B42640" w:rsidRPr="00A415D8" w:rsidRDefault="00B42640" w:rsidP="00CB3077">
      <w:pPr>
        <w:keepNext/>
        <w:keepLines/>
        <w:numPr>
          <w:ilvl w:val="0"/>
          <w:numId w:val="39"/>
        </w:numPr>
        <w:spacing w:after="0" w:line="276" w:lineRule="auto"/>
        <w:jc w:val="both"/>
        <w:rPr>
          <w:rFonts w:ascii="Calibri" w:hAnsi="Calibri" w:cs="Calibri"/>
          <w:sz w:val="20"/>
        </w:rPr>
      </w:pPr>
      <w:r w:rsidRPr="00A415D8">
        <w:rPr>
          <w:rFonts w:ascii="Calibri" w:hAnsi="Calibri" w:cs="Calibri"/>
          <w:b/>
          <w:bCs/>
          <w:sz w:val="20"/>
        </w:rPr>
        <w:t xml:space="preserve">oznámiť písomne </w:t>
      </w:r>
      <w:r w:rsidR="00EF4209">
        <w:rPr>
          <w:rFonts w:ascii="Calibri" w:hAnsi="Calibri" w:cs="Calibri"/>
          <w:sz w:val="20"/>
        </w:rPr>
        <w:t xml:space="preserve">SO </w:t>
      </w:r>
      <w:r w:rsidRPr="00A415D8">
        <w:rPr>
          <w:rFonts w:ascii="Calibri" w:hAnsi="Calibri" w:cs="Calibri"/>
          <w:sz w:val="20"/>
        </w:rPr>
        <w:t xml:space="preserve">príslušnú </w:t>
      </w:r>
      <w:r w:rsidRPr="00A415D8">
        <w:rPr>
          <w:rFonts w:ascii="Calibri" w:hAnsi="Calibri" w:cs="Calibri"/>
          <w:b/>
          <w:bCs/>
          <w:sz w:val="20"/>
        </w:rPr>
        <w:t xml:space="preserve">sumu čistého príjmu </w:t>
      </w:r>
      <w:r w:rsidRPr="00A415D8">
        <w:rPr>
          <w:rFonts w:ascii="Calibri" w:hAnsi="Calibri" w:cs="Calibri"/>
          <w:sz w:val="20"/>
        </w:rPr>
        <w:t xml:space="preserve">najneskôr </w:t>
      </w:r>
      <w:r w:rsidRPr="00A415D8">
        <w:rPr>
          <w:rFonts w:ascii="Calibri" w:hAnsi="Calibri" w:cs="Calibri"/>
          <w:b/>
          <w:bCs/>
          <w:sz w:val="20"/>
        </w:rPr>
        <w:t xml:space="preserve">do 16. januára </w:t>
      </w:r>
      <w:r w:rsidRPr="00A415D8">
        <w:rPr>
          <w:rFonts w:ascii="Calibri" w:hAnsi="Calibri" w:cs="Calibri"/>
          <w:sz w:val="20"/>
        </w:rPr>
        <w:t xml:space="preserve">roku nasledujúceho po roku, v ktorom bola zostavená účtovná závierka za posledné príslušné účtovné obdobie alebo, ak sa na prijímateľa vzťahuje povinnosť overovania účtovnej závierky audítorom v súlade s ustanoveniami zákona o účtovníctve o overovaní účtovnej závierky audítorom, po roku, v ktorom bola účtovná závierka overená a zároveň </w:t>
      </w:r>
      <w:r w:rsidR="00EF4209">
        <w:rPr>
          <w:rFonts w:ascii="Calibri" w:hAnsi="Calibri" w:cs="Calibri"/>
          <w:b/>
          <w:bCs/>
          <w:sz w:val="20"/>
        </w:rPr>
        <w:t>požiadať SO</w:t>
      </w:r>
      <w:r w:rsidRPr="00A415D8">
        <w:rPr>
          <w:rFonts w:ascii="Calibri" w:hAnsi="Calibri" w:cs="Calibri"/>
          <w:sz w:val="20"/>
        </w:rPr>
        <w:t xml:space="preserve"> o informáciu k podrobnostiam vrátenia čistého príjmu (napr. čísla účtov</w:t>
      </w:r>
      <w:r w:rsidR="00EF4209">
        <w:rPr>
          <w:rFonts w:ascii="Calibri" w:hAnsi="Calibri" w:cs="Calibri"/>
          <w:sz w:val="20"/>
        </w:rPr>
        <w:t xml:space="preserve">, variabilný symbol) -  SO </w:t>
      </w:r>
      <w:r w:rsidRPr="00A415D8">
        <w:rPr>
          <w:rFonts w:ascii="Calibri" w:hAnsi="Calibri" w:cs="Calibri"/>
          <w:sz w:val="20"/>
        </w:rPr>
        <w:t>zašle túto informáciu prijímateľovi bezodkladne v písomnej forme, resp. elektronickej forme,</w:t>
      </w:r>
    </w:p>
    <w:p w14:paraId="5EB15EE1" w14:textId="77777777" w:rsidR="00B42640" w:rsidRPr="00A415D8" w:rsidRDefault="00B42640" w:rsidP="00CB3077">
      <w:pPr>
        <w:keepNext/>
        <w:keepLines/>
        <w:numPr>
          <w:ilvl w:val="0"/>
          <w:numId w:val="39"/>
        </w:numPr>
        <w:spacing w:after="0" w:line="276" w:lineRule="auto"/>
        <w:jc w:val="both"/>
        <w:rPr>
          <w:rFonts w:ascii="Calibri" w:hAnsi="Calibri" w:cs="Calibri"/>
          <w:sz w:val="20"/>
        </w:rPr>
      </w:pPr>
      <w:r w:rsidRPr="00A415D8">
        <w:rPr>
          <w:rFonts w:ascii="Calibri" w:hAnsi="Calibri" w:cs="Calibri"/>
          <w:b/>
          <w:bCs/>
          <w:sz w:val="20"/>
        </w:rPr>
        <w:t xml:space="preserve">vrátiť čistý príjem najneskôr do 31. januára </w:t>
      </w:r>
      <w:r w:rsidRPr="00A415D8">
        <w:rPr>
          <w:rFonts w:ascii="Calibri" w:hAnsi="Calibri" w:cs="Calibri"/>
          <w:sz w:val="20"/>
        </w:rPr>
        <w:t xml:space="preserve">príslušného roka.  </w:t>
      </w:r>
    </w:p>
    <w:p w14:paraId="5591C211" w14:textId="5A6B8FB6"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Prijímateľ postupuje pri vysporiadaní čistého príjmu vzniknutého v rámci reali</w:t>
      </w:r>
      <w:r w:rsidR="007D525C">
        <w:rPr>
          <w:rFonts w:ascii="Calibri" w:hAnsi="Calibri" w:cs="Calibri"/>
          <w:sz w:val="20"/>
        </w:rPr>
        <w:t>zácie projektu v súlade s</w:t>
      </w:r>
      <w:r w:rsidRPr="00A415D8">
        <w:rPr>
          <w:rFonts w:ascii="Calibri" w:hAnsi="Calibri" w:cs="Calibri"/>
          <w:sz w:val="20"/>
        </w:rPr>
        <w:t xml:space="preserve"> VZP.  Ak prijímateľ čistý príjem alebo výnos riadne a vč</w:t>
      </w:r>
      <w:r w:rsidR="00EF4209">
        <w:rPr>
          <w:rFonts w:ascii="Calibri" w:hAnsi="Calibri" w:cs="Calibri"/>
          <w:sz w:val="20"/>
        </w:rPr>
        <w:t xml:space="preserve">as nevráti, resp. neodvedie, SO </w:t>
      </w:r>
      <w:r w:rsidRPr="00A415D8">
        <w:rPr>
          <w:rFonts w:ascii="Calibri" w:hAnsi="Calibri" w:cs="Calibri"/>
          <w:sz w:val="20"/>
        </w:rPr>
        <w:t xml:space="preserve">bude postupovať rovnako podľa </w:t>
      </w:r>
      <w:r w:rsidR="007D525C">
        <w:rPr>
          <w:rFonts w:ascii="Calibri" w:hAnsi="Calibri" w:cs="Calibri"/>
          <w:sz w:val="20"/>
        </w:rPr>
        <w:t>vecne príslušných článkov</w:t>
      </w:r>
      <w:r w:rsidRPr="00A415D8">
        <w:rPr>
          <w:rFonts w:ascii="Calibri" w:hAnsi="Calibri" w:cs="Calibri"/>
          <w:sz w:val="20"/>
        </w:rPr>
        <w:t xml:space="preserve"> VZP.  </w:t>
      </w:r>
    </w:p>
    <w:p w14:paraId="43B3DCC5" w14:textId="77777777" w:rsidR="00B42640" w:rsidRPr="00A415D8" w:rsidRDefault="00B42640" w:rsidP="00CB3077">
      <w:pPr>
        <w:keepNext/>
        <w:keepLines/>
        <w:spacing w:after="120" w:line="276" w:lineRule="auto"/>
        <w:jc w:val="both"/>
        <w:outlineLvl w:val="2"/>
        <w:rPr>
          <w:rFonts w:ascii="Calibri" w:hAnsi="Calibri" w:cs="Calibri"/>
          <w:b/>
          <w:color w:val="1F497D"/>
          <w:sz w:val="20"/>
          <w:u w:val="single"/>
        </w:rPr>
      </w:pPr>
      <w:bookmarkStart w:id="18" w:name="_Toc469685710"/>
      <w:r w:rsidRPr="00A415D8">
        <w:rPr>
          <w:rFonts w:ascii="Calibri" w:hAnsi="Calibri" w:cs="Calibri"/>
          <w:b/>
          <w:color w:val="1F497D"/>
          <w:sz w:val="20"/>
          <w:u w:val="single"/>
        </w:rPr>
        <w:t>Vykazovanie príjmov a výdavkov projektu v účtovníctve prijímateľa</w:t>
      </w:r>
      <w:bookmarkEnd w:id="18"/>
    </w:p>
    <w:p w14:paraId="66294DE0" w14:textId="77777777"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lastRenderedPageBreak/>
        <w:t>Výnosy generované projektmi sa účtujú v súlade so zákonom č. 431/2002 Z. z. o účtovníctve v znení neskorších predpisov na účtoch uvedených v nasledujúcej tabuľke.</w:t>
      </w:r>
    </w:p>
    <w:p w14:paraId="0A982FED" w14:textId="051F4872" w:rsidR="00B42640" w:rsidRPr="00A415D8" w:rsidRDefault="00B42640" w:rsidP="00CB3077">
      <w:pPr>
        <w:keepNext/>
        <w:keepLines/>
        <w:spacing w:line="276" w:lineRule="auto"/>
        <w:jc w:val="both"/>
        <w:rPr>
          <w:rFonts w:ascii="Calibri" w:hAnsi="Calibri" w:cs="Calibri"/>
          <w:b/>
          <w:bCs/>
          <w:sz w:val="20"/>
          <w:lang w:val="en-US"/>
        </w:rPr>
      </w:pPr>
      <w:proofErr w:type="spellStart"/>
      <w:r w:rsidRPr="00A415D8">
        <w:rPr>
          <w:rFonts w:ascii="Calibri" w:hAnsi="Calibri" w:cs="Calibri"/>
          <w:b/>
          <w:bCs/>
          <w:sz w:val="20"/>
          <w:lang w:val="en-US"/>
        </w:rPr>
        <w:t>Výnosové</w:t>
      </w:r>
      <w:proofErr w:type="spellEnd"/>
      <w:r w:rsidRPr="00A415D8">
        <w:rPr>
          <w:rFonts w:ascii="Calibri" w:hAnsi="Calibri" w:cs="Calibri"/>
          <w:b/>
          <w:bCs/>
          <w:sz w:val="20"/>
          <w:lang w:val="en-US"/>
        </w:rPr>
        <w:t xml:space="preserve"> </w:t>
      </w:r>
      <w:proofErr w:type="spellStart"/>
      <w:r w:rsidRPr="00A415D8">
        <w:rPr>
          <w:rFonts w:ascii="Calibri" w:hAnsi="Calibri" w:cs="Calibri"/>
          <w:b/>
          <w:bCs/>
          <w:sz w:val="20"/>
          <w:lang w:val="en-US"/>
        </w:rPr>
        <w:t>účty</w:t>
      </w:r>
      <w:proofErr w:type="spellEnd"/>
    </w:p>
    <w:tbl>
      <w:tblPr>
        <w:tblStyle w:val="Mriekatabuky"/>
        <w:tblW w:w="0" w:type="auto"/>
        <w:tblLook w:val="04A0" w:firstRow="1" w:lastRow="0" w:firstColumn="1" w:lastColumn="0" w:noHBand="0" w:noVBand="1"/>
      </w:tblPr>
      <w:tblGrid>
        <w:gridCol w:w="8997"/>
      </w:tblGrid>
      <w:tr w:rsidR="00B42640" w:rsidRPr="00A415D8" w14:paraId="611D79C7" w14:textId="77777777" w:rsidTr="00625476">
        <w:trPr>
          <w:trHeight w:val="406"/>
        </w:trPr>
        <w:tc>
          <w:tcPr>
            <w:tcW w:w="8997" w:type="dxa"/>
            <w:shd w:val="clear" w:color="auto" w:fill="002060"/>
          </w:tcPr>
          <w:p w14:paraId="0B734B54" w14:textId="77777777" w:rsidR="00B42640" w:rsidRPr="00A415D8" w:rsidRDefault="00B42640" w:rsidP="00CB3077">
            <w:pPr>
              <w:keepNext/>
              <w:keepLines/>
              <w:spacing w:line="276" w:lineRule="auto"/>
              <w:jc w:val="both"/>
              <w:rPr>
                <w:rFonts w:ascii="Calibri" w:hAnsi="Calibri" w:cs="Calibri"/>
                <w:b/>
              </w:rPr>
            </w:pPr>
            <w:r w:rsidRPr="00A415D8">
              <w:rPr>
                <w:rFonts w:ascii="Calibri" w:hAnsi="Calibri" w:cs="Calibri"/>
                <w:b/>
              </w:rPr>
              <w:t xml:space="preserve">  Číslo a názov výnosového účtu</w:t>
            </w:r>
          </w:p>
        </w:tc>
      </w:tr>
      <w:tr w:rsidR="00B42640" w:rsidRPr="00A415D8" w14:paraId="029DBF67" w14:textId="77777777" w:rsidTr="00625476">
        <w:tc>
          <w:tcPr>
            <w:tcW w:w="8997" w:type="dxa"/>
            <w:shd w:val="clear" w:color="auto" w:fill="D2EECE"/>
          </w:tcPr>
          <w:p w14:paraId="42D5C433"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311/601xxx (Výnosy z predaja výrobkov - platba na faktúru)</w:t>
            </w:r>
          </w:p>
          <w:p w14:paraId="1DD4AA80"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 xml:space="preserve">221/311xxx </w:t>
            </w:r>
          </w:p>
        </w:tc>
      </w:tr>
      <w:tr w:rsidR="00B42640" w:rsidRPr="00A415D8" w14:paraId="27DB4226" w14:textId="77777777" w:rsidTr="00625476">
        <w:tc>
          <w:tcPr>
            <w:tcW w:w="8997" w:type="dxa"/>
            <w:shd w:val="clear" w:color="auto" w:fill="D2EECE"/>
          </w:tcPr>
          <w:p w14:paraId="78C49028"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211/601xxx (Výnos z predaja výrobkov - platba v hotovosti)</w:t>
            </w:r>
          </w:p>
        </w:tc>
      </w:tr>
      <w:tr w:rsidR="00B42640" w:rsidRPr="00A415D8" w14:paraId="3C48FFA4" w14:textId="77777777" w:rsidTr="00625476">
        <w:tc>
          <w:tcPr>
            <w:tcW w:w="8997" w:type="dxa"/>
            <w:shd w:val="clear" w:color="auto" w:fill="D2EECE"/>
          </w:tcPr>
          <w:p w14:paraId="218580B3"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311xxx/602xxx (Výnos z poskytnutia služby - platba na faktúru)</w:t>
            </w:r>
          </w:p>
          <w:p w14:paraId="19A72527"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 xml:space="preserve">221/311xxx        </w:t>
            </w:r>
          </w:p>
        </w:tc>
      </w:tr>
      <w:tr w:rsidR="00B42640" w:rsidRPr="00A415D8" w14:paraId="00C4470E" w14:textId="77777777" w:rsidTr="00625476">
        <w:tc>
          <w:tcPr>
            <w:tcW w:w="8997" w:type="dxa"/>
            <w:shd w:val="clear" w:color="auto" w:fill="D2EECE"/>
          </w:tcPr>
          <w:p w14:paraId="57841270"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211/602xxx (Výnos z poskytnutia služby - platba v hotovosti)</w:t>
            </w:r>
          </w:p>
        </w:tc>
      </w:tr>
      <w:tr w:rsidR="00B42640" w:rsidRPr="00A415D8" w14:paraId="33978584" w14:textId="77777777" w:rsidTr="00625476">
        <w:tc>
          <w:tcPr>
            <w:tcW w:w="8997" w:type="dxa"/>
            <w:shd w:val="clear" w:color="auto" w:fill="D2EECE"/>
          </w:tcPr>
          <w:p w14:paraId="04E69AF0"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315xxx/602xxx (Výnos z predaja licencie - platba na faktúru)</w:t>
            </w:r>
          </w:p>
          <w:p w14:paraId="1DD29B2B"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 xml:space="preserve">221/315xxx        </w:t>
            </w:r>
          </w:p>
        </w:tc>
      </w:tr>
      <w:tr w:rsidR="00B42640" w:rsidRPr="00A415D8" w14:paraId="495DE654" w14:textId="77777777" w:rsidTr="00625476">
        <w:tc>
          <w:tcPr>
            <w:tcW w:w="8997" w:type="dxa"/>
            <w:shd w:val="clear" w:color="auto" w:fill="D2EECE"/>
          </w:tcPr>
          <w:p w14:paraId="56E9D8AE"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311xxx/604xxx (Výnos z predaja tovaru - platba na faktúru)</w:t>
            </w:r>
          </w:p>
          <w:p w14:paraId="642A647C"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 xml:space="preserve">221/311xxx        </w:t>
            </w:r>
          </w:p>
        </w:tc>
      </w:tr>
      <w:tr w:rsidR="00B42640" w:rsidRPr="00A415D8" w14:paraId="3FCACE63" w14:textId="77777777" w:rsidTr="00625476">
        <w:tc>
          <w:tcPr>
            <w:tcW w:w="8997" w:type="dxa"/>
            <w:shd w:val="clear" w:color="auto" w:fill="D2EECE"/>
          </w:tcPr>
          <w:p w14:paraId="3259F2F7"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211/604xxx (Výnos z predaja tovaru - platba v hotovosti)</w:t>
            </w:r>
          </w:p>
        </w:tc>
      </w:tr>
      <w:tr w:rsidR="00B42640" w:rsidRPr="00A415D8" w14:paraId="0283B3E8" w14:textId="77777777" w:rsidTr="00625476">
        <w:tc>
          <w:tcPr>
            <w:tcW w:w="8997" w:type="dxa"/>
            <w:shd w:val="clear" w:color="auto" w:fill="D2EECE"/>
          </w:tcPr>
          <w:p w14:paraId="625C91F1"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311xxx/642xxx (Výnos z predaja materiálu - platba na faktúru)</w:t>
            </w:r>
          </w:p>
          <w:p w14:paraId="1457AC8F"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 xml:space="preserve">221/311xxx       </w:t>
            </w:r>
          </w:p>
        </w:tc>
      </w:tr>
      <w:tr w:rsidR="00B42640" w:rsidRPr="00A415D8" w14:paraId="4A3BB7A8" w14:textId="77777777" w:rsidTr="00625476">
        <w:tc>
          <w:tcPr>
            <w:tcW w:w="8997" w:type="dxa"/>
            <w:shd w:val="clear" w:color="auto" w:fill="D2EECE"/>
          </w:tcPr>
          <w:p w14:paraId="1199897A"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211/642xxx (Výnos z predaja materiálu - platba v hotovosti)</w:t>
            </w:r>
          </w:p>
        </w:tc>
      </w:tr>
      <w:tr w:rsidR="00B42640" w:rsidRPr="00A415D8" w14:paraId="062D8AB0" w14:textId="77777777" w:rsidTr="00625476">
        <w:tc>
          <w:tcPr>
            <w:tcW w:w="8997" w:type="dxa"/>
            <w:shd w:val="clear" w:color="auto" w:fill="D2EECE"/>
          </w:tcPr>
          <w:p w14:paraId="70018A8F"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311,315xxx/602xxx  (Výnosy z nájmu účtované do bežného účtovného obdobia – priestory, prístroje, atď.)</w:t>
            </w:r>
          </w:p>
        </w:tc>
      </w:tr>
      <w:tr w:rsidR="00B42640" w:rsidRPr="00A415D8" w14:paraId="31121438" w14:textId="77777777" w:rsidTr="00625476">
        <w:trPr>
          <w:trHeight w:val="230"/>
        </w:trPr>
        <w:tc>
          <w:tcPr>
            <w:tcW w:w="8997" w:type="dxa"/>
            <w:shd w:val="clear" w:color="auto" w:fill="D2EECE"/>
          </w:tcPr>
          <w:p w14:paraId="1C2E236F" w14:textId="77777777" w:rsidR="00B42640" w:rsidRPr="00A415D8" w:rsidRDefault="00B42640" w:rsidP="00CB3077">
            <w:pPr>
              <w:keepNext/>
              <w:keepLines/>
              <w:spacing w:line="276" w:lineRule="auto"/>
              <w:jc w:val="both"/>
              <w:rPr>
                <w:rFonts w:ascii="Calibri" w:hAnsi="Calibri" w:cs="Calibri"/>
              </w:rPr>
            </w:pPr>
            <w:r w:rsidRPr="00A415D8">
              <w:rPr>
                <w:rFonts w:ascii="Calibri" w:hAnsi="Calibri" w:cs="Calibri"/>
              </w:rPr>
              <w:t>311,315xxx/648 (Ostatné výnosy)</w:t>
            </w:r>
          </w:p>
        </w:tc>
      </w:tr>
    </w:tbl>
    <w:p w14:paraId="1D9E7958" w14:textId="77777777" w:rsidR="00B42640" w:rsidRPr="00A415D8" w:rsidRDefault="00B42640" w:rsidP="00CB3077">
      <w:pPr>
        <w:keepNext/>
        <w:keepLines/>
        <w:spacing w:line="276" w:lineRule="auto"/>
        <w:jc w:val="both"/>
        <w:rPr>
          <w:rFonts w:ascii="Calibri" w:hAnsi="Calibri" w:cs="Calibri"/>
          <w:b/>
          <w:sz w:val="20"/>
          <w:u w:val="single"/>
        </w:rPr>
      </w:pPr>
      <w:bookmarkStart w:id="19" w:name="_Toc469685711"/>
    </w:p>
    <w:p w14:paraId="63A1E601" w14:textId="77777777" w:rsidR="00B42640" w:rsidRPr="00A415D8" w:rsidRDefault="00B42640" w:rsidP="00CB3077">
      <w:pPr>
        <w:keepNext/>
        <w:keepLines/>
        <w:spacing w:line="276" w:lineRule="auto"/>
        <w:jc w:val="both"/>
        <w:rPr>
          <w:rFonts w:ascii="Calibri" w:hAnsi="Calibri" w:cs="Calibri"/>
          <w:b/>
          <w:sz w:val="20"/>
          <w:u w:val="single"/>
        </w:rPr>
      </w:pPr>
      <w:r w:rsidRPr="00A415D8">
        <w:rPr>
          <w:rFonts w:ascii="Calibri" w:hAnsi="Calibri" w:cs="Calibri"/>
          <w:b/>
          <w:sz w:val="20"/>
          <w:u w:val="single"/>
        </w:rPr>
        <w:t>Kontrola kompletnosti zaúčtovaných príjmov</w:t>
      </w:r>
      <w:bookmarkEnd w:id="19"/>
    </w:p>
    <w:p w14:paraId="5501A7AD" w14:textId="3C804405"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 xml:space="preserve">Prijímateľ je povinný okrem zaúčtovania výnosových faktúr v analytickej evidencii, účtovať aj výnosy do </w:t>
      </w:r>
      <w:r w:rsidR="00EF4209">
        <w:rPr>
          <w:rFonts w:ascii="Calibri" w:hAnsi="Calibri" w:cs="Calibri"/>
          <w:sz w:val="20"/>
        </w:rPr>
        <w:t xml:space="preserve">obdobia životnosti projektu. SO </w:t>
      </w:r>
      <w:r w:rsidRPr="00A415D8">
        <w:rPr>
          <w:rFonts w:ascii="Calibri" w:hAnsi="Calibri" w:cs="Calibri"/>
          <w:sz w:val="20"/>
        </w:rPr>
        <w:t>na základe detailnej kontroly všetkých vystavených faktúr spadajúcich pod projekt (aj faktúr k neoprávneným výdavkom nad rámec finančnej medzery) vykoná kontrolu správneho zaúčtovania a tiež kompletnosti zaúčtovaných výnosov odsúhlasením na podpornú dokumentáciu (dodací list podpísaný odberateľom, podpísanú zmluvu, atď.) priloženú k faktúre. Okrem štandardných informácií, ktoré musí obsahovať účtovný doklad vrátanie u</w:t>
      </w:r>
      <w:r w:rsidR="00EF4209">
        <w:rPr>
          <w:rFonts w:ascii="Calibri" w:hAnsi="Calibri" w:cs="Calibri"/>
          <w:sz w:val="20"/>
        </w:rPr>
        <w:t>vedeného čísla projektu, SO</w:t>
      </w:r>
      <w:r w:rsidRPr="00A415D8">
        <w:rPr>
          <w:rFonts w:ascii="Calibri" w:hAnsi="Calibri" w:cs="Calibri"/>
          <w:sz w:val="20"/>
        </w:rPr>
        <w:t xml:space="preserve"> skontroluje nasledovné údaje:</w:t>
      </w:r>
    </w:p>
    <w:p w14:paraId="3B8A8698" w14:textId="77777777" w:rsidR="00B42640" w:rsidRPr="00A415D8" w:rsidRDefault="00B42640" w:rsidP="00CB3077">
      <w:pPr>
        <w:keepNext/>
        <w:keepLines/>
        <w:numPr>
          <w:ilvl w:val="0"/>
          <w:numId w:val="33"/>
        </w:numPr>
        <w:spacing w:after="0" w:line="276" w:lineRule="auto"/>
        <w:jc w:val="both"/>
        <w:rPr>
          <w:rFonts w:ascii="Calibri" w:hAnsi="Calibri" w:cs="Calibri"/>
          <w:sz w:val="20"/>
        </w:rPr>
      </w:pPr>
      <w:r w:rsidRPr="00A415D8">
        <w:rPr>
          <w:rFonts w:ascii="Calibri" w:hAnsi="Calibri" w:cs="Calibri"/>
          <w:sz w:val="20"/>
        </w:rPr>
        <w:t>faktúra bola schválená vedúcim pracovníkom (kontrola štyroch očí),</w:t>
      </w:r>
    </w:p>
    <w:p w14:paraId="4C5A3A87" w14:textId="77777777" w:rsidR="00B42640" w:rsidRPr="00A415D8" w:rsidRDefault="00B42640" w:rsidP="00CB3077">
      <w:pPr>
        <w:keepNext/>
        <w:keepLines/>
        <w:numPr>
          <w:ilvl w:val="0"/>
          <w:numId w:val="33"/>
        </w:numPr>
        <w:spacing w:after="0" w:line="276" w:lineRule="auto"/>
        <w:jc w:val="both"/>
        <w:rPr>
          <w:rFonts w:ascii="Calibri" w:hAnsi="Calibri" w:cs="Calibri"/>
          <w:sz w:val="20"/>
        </w:rPr>
      </w:pPr>
      <w:r w:rsidRPr="00A415D8">
        <w:rPr>
          <w:rFonts w:ascii="Calibri" w:hAnsi="Calibri" w:cs="Calibri"/>
          <w:sz w:val="20"/>
        </w:rPr>
        <w:t>podporná dokumentácia je riadne podpísaná odberateľom,</w:t>
      </w:r>
    </w:p>
    <w:p w14:paraId="3C84278F" w14:textId="77777777" w:rsidR="00B42640" w:rsidRPr="00A415D8" w:rsidRDefault="00B42640" w:rsidP="00CB3077">
      <w:pPr>
        <w:keepNext/>
        <w:keepLines/>
        <w:numPr>
          <w:ilvl w:val="0"/>
          <w:numId w:val="33"/>
        </w:numPr>
        <w:spacing w:after="0" w:line="276" w:lineRule="auto"/>
        <w:jc w:val="both"/>
        <w:rPr>
          <w:rFonts w:ascii="Calibri" w:hAnsi="Calibri" w:cs="Calibri"/>
          <w:sz w:val="20"/>
        </w:rPr>
      </w:pPr>
      <w:r w:rsidRPr="00A415D8">
        <w:rPr>
          <w:rFonts w:ascii="Calibri" w:hAnsi="Calibri" w:cs="Calibri"/>
          <w:sz w:val="20"/>
        </w:rPr>
        <w:t>dátum na podpornej dokumentácii súhlasí s dátumom uvedeným v účtovníctve a zároveň je to dátum v rámci životnosti projektu,</w:t>
      </w:r>
    </w:p>
    <w:p w14:paraId="34EE5C9C" w14:textId="77777777" w:rsidR="00B42640" w:rsidRPr="00A415D8" w:rsidRDefault="00B42640" w:rsidP="00CB3077">
      <w:pPr>
        <w:keepNext/>
        <w:keepLines/>
        <w:numPr>
          <w:ilvl w:val="0"/>
          <w:numId w:val="33"/>
        </w:numPr>
        <w:spacing w:after="0" w:line="276" w:lineRule="auto"/>
        <w:jc w:val="both"/>
        <w:rPr>
          <w:rFonts w:ascii="Calibri" w:hAnsi="Calibri" w:cs="Calibri"/>
          <w:sz w:val="20"/>
        </w:rPr>
      </w:pPr>
      <w:r w:rsidRPr="00A415D8">
        <w:rPr>
          <w:rFonts w:ascii="Calibri" w:hAnsi="Calibri" w:cs="Calibri"/>
          <w:sz w:val="20"/>
        </w:rPr>
        <w:t>typ výnosu priamo súvisí s projektom,</w:t>
      </w:r>
    </w:p>
    <w:p w14:paraId="3763A756" w14:textId="77777777" w:rsidR="00B42640" w:rsidRPr="00A415D8" w:rsidRDefault="00B42640" w:rsidP="00CB3077">
      <w:pPr>
        <w:keepNext/>
        <w:keepLines/>
        <w:numPr>
          <w:ilvl w:val="0"/>
          <w:numId w:val="33"/>
        </w:numPr>
        <w:spacing w:after="0" w:line="276" w:lineRule="auto"/>
        <w:jc w:val="both"/>
        <w:rPr>
          <w:rFonts w:ascii="Calibri" w:hAnsi="Calibri" w:cs="Calibri"/>
          <w:sz w:val="20"/>
        </w:rPr>
      </w:pPr>
      <w:r w:rsidRPr="00A415D8">
        <w:rPr>
          <w:rFonts w:ascii="Calibri" w:hAnsi="Calibri" w:cs="Calibri"/>
          <w:sz w:val="20"/>
        </w:rPr>
        <w:t>faktúra je zaúčtovaná v správnom období (s ktorým vecne a časovo súvisí).</w:t>
      </w:r>
    </w:p>
    <w:p w14:paraId="05175FD8" w14:textId="47D0CD0F" w:rsidR="00B42640" w:rsidRPr="00A415D8" w:rsidRDefault="00EF4209" w:rsidP="00CB3077">
      <w:pPr>
        <w:keepNext/>
        <w:keepLines/>
        <w:spacing w:line="276" w:lineRule="auto"/>
        <w:jc w:val="both"/>
        <w:rPr>
          <w:rFonts w:ascii="Calibri" w:hAnsi="Calibri" w:cs="Calibri"/>
          <w:sz w:val="20"/>
        </w:rPr>
      </w:pPr>
      <w:r>
        <w:rPr>
          <w:rFonts w:ascii="Calibri" w:hAnsi="Calibri" w:cs="Calibri"/>
          <w:sz w:val="20"/>
        </w:rPr>
        <w:t xml:space="preserve">SO </w:t>
      </w:r>
      <w:r w:rsidR="00B42640" w:rsidRPr="00A415D8">
        <w:rPr>
          <w:rFonts w:ascii="Calibri" w:hAnsi="Calibri" w:cs="Calibri"/>
          <w:sz w:val="20"/>
        </w:rPr>
        <w:t>sa tiež zameria na kontrolu kompletnosti výnosov generovaný</w:t>
      </w:r>
      <w:r>
        <w:rPr>
          <w:rFonts w:ascii="Calibri" w:hAnsi="Calibri" w:cs="Calibri"/>
          <w:sz w:val="20"/>
        </w:rPr>
        <w:t>ch projektmi – pre tieto účely S</w:t>
      </w:r>
      <w:r w:rsidR="00B42640" w:rsidRPr="00A415D8">
        <w:rPr>
          <w:rFonts w:ascii="Calibri" w:hAnsi="Calibri" w:cs="Calibri"/>
          <w:sz w:val="20"/>
        </w:rPr>
        <w:t>O vyberie z manuálnej zložky vzorky vystavených faktúr (resp. iných účtovných dokladov) týkajúcich sa projektu,  následne vyhľadá túto faktúru v účtovníctve a overí jej správne zaúčtovanie (sumu, obdobie, príslušnosť k projektu v analytickej evidencii, podpornú dokumentáciu, atď.). Kontrola kompletnosti zaúčtovaných príjmov je dôležitá z hľadiska určenia výšky NFP, na ktorú má prijímateľ nárok (keďže od NFP sa odpočítajú čisté príjmy projektu).</w:t>
      </w:r>
    </w:p>
    <w:p w14:paraId="4B764664" w14:textId="77777777" w:rsidR="00B42640" w:rsidRPr="00A415D8" w:rsidRDefault="00B42640" w:rsidP="00CB3077">
      <w:pPr>
        <w:keepNext/>
        <w:keepLines/>
        <w:spacing w:line="276" w:lineRule="auto"/>
        <w:jc w:val="both"/>
        <w:rPr>
          <w:rFonts w:ascii="Calibri" w:hAnsi="Calibri" w:cs="Calibri"/>
          <w:b/>
          <w:sz w:val="20"/>
          <w:u w:val="single"/>
        </w:rPr>
      </w:pPr>
      <w:bookmarkStart w:id="20" w:name="_Toc435793191"/>
      <w:bookmarkStart w:id="21" w:name="_Toc469685712"/>
      <w:r w:rsidRPr="00A415D8">
        <w:rPr>
          <w:rFonts w:ascii="Calibri" w:hAnsi="Calibri" w:cs="Calibri"/>
          <w:b/>
          <w:sz w:val="20"/>
          <w:u w:val="single"/>
        </w:rPr>
        <w:t>Postup účtovania rozpočtových príjmov</w:t>
      </w:r>
      <w:bookmarkEnd w:id="20"/>
      <w:bookmarkEnd w:id="21"/>
      <w:r w:rsidRPr="00A415D8">
        <w:rPr>
          <w:rFonts w:ascii="Calibri" w:hAnsi="Calibri" w:cs="Calibri"/>
          <w:b/>
          <w:sz w:val="20"/>
          <w:u w:val="single"/>
        </w:rPr>
        <w:t xml:space="preserve"> </w:t>
      </w:r>
    </w:p>
    <w:p w14:paraId="137735C9" w14:textId="77777777"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 xml:space="preserve">Podľa zákona č. 523/2004 Z. z. o rozpočtových pravidlách verejnej správy rozpočtové organizácie sústreďujú všetky príjmy prostredníctvom príjmového rozpočtového účtu vedeného v Štátnej pokladnici.  </w:t>
      </w:r>
    </w:p>
    <w:p w14:paraId="5F57101F" w14:textId="77777777"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 xml:space="preserve">Realizácia rozpočtových príjmov sa účtuje v štátnych rozpočtových organizáciách podľa § 40 uvedeného opatrenia na účte 224 – Účet štátnych rozpočtových príjmov. </w:t>
      </w:r>
    </w:p>
    <w:p w14:paraId="2A1266A1" w14:textId="77777777"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lastRenderedPageBreak/>
        <w:t>Z vecnej podstaty účtu 224 – Účet štátnych rozpočtových príjmov vyplýva, že nevykazuje konečný zostatok, a teda sa nenachádza ani v súvahe.</w:t>
      </w:r>
    </w:p>
    <w:p w14:paraId="2B5EBBF5" w14:textId="206B3C09" w:rsidR="00B42640" w:rsidRPr="00A415D8" w:rsidRDefault="00B42640" w:rsidP="00CB3077">
      <w:pPr>
        <w:keepNext/>
        <w:keepLines/>
        <w:spacing w:line="276" w:lineRule="auto"/>
        <w:jc w:val="both"/>
        <w:rPr>
          <w:rFonts w:ascii="Calibri" w:hAnsi="Calibri" w:cs="Calibri"/>
          <w:b/>
          <w:bCs/>
          <w:sz w:val="20"/>
          <w:lang w:val="en-US"/>
        </w:rPr>
      </w:pPr>
      <w:proofErr w:type="spellStart"/>
      <w:r w:rsidRPr="00A415D8">
        <w:rPr>
          <w:rFonts w:ascii="Calibri" w:hAnsi="Calibri" w:cs="Calibri"/>
          <w:b/>
          <w:bCs/>
          <w:sz w:val="20"/>
          <w:lang w:val="en-US"/>
        </w:rPr>
        <w:t>Postup</w:t>
      </w:r>
      <w:proofErr w:type="spellEnd"/>
      <w:r w:rsidRPr="00A415D8">
        <w:rPr>
          <w:rFonts w:ascii="Calibri" w:hAnsi="Calibri" w:cs="Calibri"/>
          <w:b/>
          <w:bCs/>
          <w:sz w:val="20"/>
          <w:lang w:val="en-US"/>
        </w:rPr>
        <w:t xml:space="preserve"> </w:t>
      </w:r>
      <w:proofErr w:type="spellStart"/>
      <w:r w:rsidRPr="00A415D8">
        <w:rPr>
          <w:rFonts w:ascii="Calibri" w:hAnsi="Calibri" w:cs="Calibri"/>
          <w:b/>
          <w:bCs/>
          <w:sz w:val="20"/>
          <w:lang w:val="en-US"/>
        </w:rPr>
        <w:t>účtovania</w:t>
      </w:r>
      <w:proofErr w:type="spellEnd"/>
      <w:r w:rsidRPr="00A415D8">
        <w:rPr>
          <w:rFonts w:ascii="Calibri" w:hAnsi="Calibri" w:cs="Calibri"/>
          <w:b/>
          <w:bCs/>
          <w:sz w:val="20"/>
          <w:lang w:val="en-US"/>
        </w:rPr>
        <w:t xml:space="preserve"> </w:t>
      </w:r>
      <w:proofErr w:type="spellStart"/>
      <w:r w:rsidRPr="00A415D8">
        <w:rPr>
          <w:rFonts w:ascii="Calibri" w:hAnsi="Calibri" w:cs="Calibri"/>
          <w:b/>
          <w:bCs/>
          <w:sz w:val="20"/>
          <w:lang w:val="en-US"/>
        </w:rPr>
        <w:t>rozpočtových</w:t>
      </w:r>
      <w:proofErr w:type="spellEnd"/>
      <w:r w:rsidRPr="00A415D8">
        <w:rPr>
          <w:rFonts w:ascii="Calibri" w:hAnsi="Calibri" w:cs="Calibri"/>
          <w:b/>
          <w:bCs/>
          <w:sz w:val="20"/>
          <w:lang w:val="en-US"/>
        </w:rPr>
        <w:t xml:space="preserve"> </w:t>
      </w:r>
      <w:proofErr w:type="spellStart"/>
      <w:r w:rsidRPr="00A415D8">
        <w:rPr>
          <w:rFonts w:ascii="Calibri" w:hAnsi="Calibri" w:cs="Calibri"/>
          <w:b/>
          <w:bCs/>
          <w:sz w:val="20"/>
          <w:lang w:val="en-US"/>
        </w:rPr>
        <w:t>príjmov</w:t>
      </w:r>
      <w:proofErr w:type="spellEnd"/>
      <w:r w:rsidRPr="00A415D8">
        <w:rPr>
          <w:rFonts w:ascii="Calibri" w:hAnsi="Calibri" w:cs="Calibri"/>
          <w:b/>
          <w:bCs/>
          <w:sz w:val="20"/>
          <w:lang w:val="en-US"/>
        </w:rPr>
        <w:t xml:space="preserve"> </w:t>
      </w:r>
    </w:p>
    <w:tbl>
      <w:tblPr>
        <w:tblStyle w:val="Svetlzoznamzvraznenie31"/>
        <w:tblW w:w="9606"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Look w:val="01E0" w:firstRow="1" w:lastRow="1" w:firstColumn="1" w:lastColumn="1" w:noHBand="0" w:noVBand="0"/>
      </w:tblPr>
      <w:tblGrid>
        <w:gridCol w:w="5392"/>
        <w:gridCol w:w="2229"/>
        <w:gridCol w:w="992"/>
        <w:gridCol w:w="993"/>
      </w:tblGrid>
      <w:tr w:rsidR="00B42640" w:rsidRPr="00A415D8" w14:paraId="2A5A3449" w14:textId="77777777" w:rsidTr="00A37E1F">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392" w:type="dxa"/>
            <w:shd w:val="clear" w:color="auto" w:fill="A8D08D" w:themeFill="accent6" w:themeFillTint="99"/>
            <w:vAlign w:val="center"/>
          </w:tcPr>
          <w:p w14:paraId="6C5D76C6" w14:textId="77777777" w:rsidR="00B42640" w:rsidRPr="00A415D8" w:rsidRDefault="00B42640" w:rsidP="00CB3077">
            <w:pPr>
              <w:keepNext/>
              <w:keepLines/>
              <w:spacing w:line="276" w:lineRule="auto"/>
              <w:jc w:val="both"/>
              <w:rPr>
                <w:sz w:val="20"/>
              </w:rPr>
            </w:pPr>
            <w:r w:rsidRPr="00A415D8">
              <w:rPr>
                <w:sz w:val="20"/>
              </w:rPr>
              <w:t>Popis účtovného prípadu</w:t>
            </w:r>
          </w:p>
        </w:tc>
        <w:tc>
          <w:tcPr>
            <w:cnfStyle w:val="000010000000" w:firstRow="0" w:lastRow="0" w:firstColumn="0" w:lastColumn="0" w:oddVBand="1" w:evenVBand="0" w:oddHBand="0" w:evenHBand="0" w:firstRowFirstColumn="0" w:firstRowLastColumn="0" w:lastRowFirstColumn="0" w:lastRowLastColumn="0"/>
            <w:tcW w:w="2229" w:type="dxa"/>
            <w:shd w:val="clear" w:color="auto" w:fill="A8D08D" w:themeFill="accent6" w:themeFillTint="99"/>
            <w:vAlign w:val="center"/>
          </w:tcPr>
          <w:p w14:paraId="58A282CA" w14:textId="77777777" w:rsidR="00B42640" w:rsidRPr="00A415D8" w:rsidRDefault="00B42640" w:rsidP="00CB3077">
            <w:pPr>
              <w:keepNext/>
              <w:keepLines/>
              <w:spacing w:line="276" w:lineRule="auto"/>
              <w:jc w:val="both"/>
              <w:rPr>
                <w:sz w:val="20"/>
              </w:rPr>
            </w:pPr>
            <w:r w:rsidRPr="00A415D8">
              <w:rPr>
                <w:sz w:val="20"/>
              </w:rPr>
              <w:t>Právna forma</w:t>
            </w:r>
          </w:p>
        </w:tc>
        <w:tc>
          <w:tcPr>
            <w:tcW w:w="992" w:type="dxa"/>
            <w:shd w:val="clear" w:color="auto" w:fill="A8D08D" w:themeFill="accent6" w:themeFillTint="99"/>
            <w:vAlign w:val="center"/>
          </w:tcPr>
          <w:p w14:paraId="6D8058C5" w14:textId="77777777" w:rsidR="00B42640" w:rsidRPr="00A415D8" w:rsidRDefault="00B42640" w:rsidP="00CB3077">
            <w:pPr>
              <w:keepNext/>
              <w:keepLines/>
              <w:spacing w:line="276" w:lineRule="auto"/>
              <w:jc w:val="both"/>
              <w:cnfStyle w:val="100000000000" w:firstRow="1" w:lastRow="0" w:firstColumn="0" w:lastColumn="0" w:oddVBand="0" w:evenVBand="0" w:oddHBand="0" w:evenHBand="0" w:firstRowFirstColumn="0" w:firstRowLastColumn="0" w:lastRowFirstColumn="0" w:lastRowLastColumn="0"/>
              <w:rPr>
                <w:sz w:val="20"/>
              </w:rPr>
            </w:pPr>
            <w:r w:rsidRPr="00A415D8">
              <w:rPr>
                <w:sz w:val="20"/>
              </w:rPr>
              <w:t>MD</w:t>
            </w:r>
          </w:p>
        </w:tc>
        <w:tc>
          <w:tcPr>
            <w:cnfStyle w:val="000100000000" w:firstRow="0" w:lastRow="0" w:firstColumn="0" w:lastColumn="1" w:oddVBand="0" w:evenVBand="0" w:oddHBand="0" w:evenHBand="0" w:firstRowFirstColumn="0" w:firstRowLastColumn="0" w:lastRowFirstColumn="0" w:lastRowLastColumn="0"/>
            <w:tcW w:w="993" w:type="dxa"/>
            <w:shd w:val="clear" w:color="auto" w:fill="A8D08D" w:themeFill="accent6" w:themeFillTint="99"/>
            <w:vAlign w:val="center"/>
          </w:tcPr>
          <w:p w14:paraId="6FDA7227" w14:textId="77777777" w:rsidR="00B42640" w:rsidRPr="00A415D8" w:rsidRDefault="00B42640" w:rsidP="00CB3077">
            <w:pPr>
              <w:keepNext/>
              <w:keepLines/>
              <w:spacing w:line="276" w:lineRule="auto"/>
              <w:jc w:val="both"/>
              <w:rPr>
                <w:sz w:val="20"/>
              </w:rPr>
            </w:pPr>
            <w:r w:rsidRPr="00A415D8">
              <w:rPr>
                <w:sz w:val="20"/>
              </w:rPr>
              <w:t>D</w:t>
            </w:r>
          </w:p>
        </w:tc>
      </w:tr>
      <w:tr w:rsidR="00B42640" w:rsidRPr="00A415D8" w14:paraId="72C2DFE9" w14:textId="77777777" w:rsidTr="00A37E1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392" w:type="dxa"/>
            <w:vMerge w:val="restart"/>
            <w:shd w:val="clear" w:color="auto" w:fill="E2EFD9" w:themeFill="accent6" w:themeFillTint="33"/>
            <w:vAlign w:val="center"/>
          </w:tcPr>
          <w:p w14:paraId="6194A092" w14:textId="77777777" w:rsidR="00B42640" w:rsidRPr="00A415D8" w:rsidRDefault="00B42640" w:rsidP="00CB3077">
            <w:pPr>
              <w:keepNext/>
              <w:keepLines/>
              <w:spacing w:line="276" w:lineRule="auto"/>
              <w:jc w:val="both"/>
              <w:rPr>
                <w:sz w:val="20"/>
              </w:rPr>
            </w:pPr>
            <w:r w:rsidRPr="00A415D8">
              <w:rPr>
                <w:sz w:val="20"/>
              </w:rPr>
              <w:t>Vznik pohľadávky z predaja dlhodobého majetku</w:t>
            </w:r>
          </w:p>
        </w:tc>
        <w:tc>
          <w:tcPr>
            <w:cnfStyle w:val="000010000000" w:firstRow="0" w:lastRow="0" w:firstColumn="0" w:lastColumn="0" w:oddVBand="1" w:evenVBand="0" w:oddHBand="0" w:evenHBand="0" w:firstRowFirstColumn="0" w:firstRowLastColumn="0" w:lastRowFirstColumn="0" w:lastRowLastColumn="0"/>
            <w:tcW w:w="2229" w:type="dxa"/>
            <w:vAlign w:val="center"/>
          </w:tcPr>
          <w:p w14:paraId="1DE0E8E4" w14:textId="77777777" w:rsidR="00B42640" w:rsidRPr="00A415D8" w:rsidRDefault="00B42640" w:rsidP="00CB3077">
            <w:pPr>
              <w:keepNext/>
              <w:keepLines/>
              <w:spacing w:line="276" w:lineRule="auto"/>
              <w:jc w:val="both"/>
              <w:rPr>
                <w:sz w:val="20"/>
              </w:rPr>
            </w:pPr>
            <w:r w:rsidRPr="00A415D8">
              <w:rPr>
                <w:sz w:val="20"/>
              </w:rPr>
              <w:t>ŠRO</w:t>
            </w:r>
          </w:p>
        </w:tc>
        <w:tc>
          <w:tcPr>
            <w:tcW w:w="992" w:type="dxa"/>
            <w:vAlign w:val="center"/>
          </w:tcPr>
          <w:p w14:paraId="5853433A" w14:textId="77777777" w:rsidR="00B42640" w:rsidRPr="00A415D8" w:rsidRDefault="00B42640" w:rsidP="00CB3077">
            <w:pPr>
              <w:keepNext/>
              <w:keepLines/>
              <w:spacing w:line="276" w:lineRule="auto"/>
              <w:jc w:val="both"/>
              <w:cnfStyle w:val="000000100000" w:firstRow="0" w:lastRow="0" w:firstColumn="0" w:lastColumn="0" w:oddVBand="0" w:evenVBand="0" w:oddHBand="1" w:evenHBand="0" w:firstRowFirstColumn="0" w:firstRowLastColumn="0" w:lastRowFirstColumn="0" w:lastRowLastColumn="0"/>
              <w:rPr>
                <w:sz w:val="20"/>
              </w:rPr>
            </w:pPr>
            <w:r w:rsidRPr="00A415D8">
              <w:rPr>
                <w:sz w:val="20"/>
              </w:rPr>
              <w:t>316</w:t>
            </w:r>
          </w:p>
        </w:tc>
        <w:tc>
          <w:tcPr>
            <w:cnfStyle w:val="000100000000" w:firstRow="0" w:lastRow="0" w:firstColumn="0" w:lastColumn="1" w:oddVBand="0" w:evenVBand="0" w:oddHBand="0" w:evenHBand="0" w:firstRowFirstColumn="0" w:firstRowLastColumn="0" w:lastRowFirstColumn="0" w:lastRowLastColumn="0"/>
            <w:tcW w:w="993" w:type="dxa"/>
            <w:vAlign w:val="center"/>
          </w:tcPr>
          <w:p w14:paraId="0D46DE17" w14:textId="77777777" w:rsidR="00B42640" w:rsidRPr="00A415D8" w:rsidRDefault="00B42640" w:rsidP="00CB3077">
            <w:pPr>
              <w:keepNext/>
              <w:keepLines/>
              <w:spacing w:line="276" w:lineRule="auto"/>
              <w:jc w:val="both"/>
              <w:rPr>
                <w:sz w:val="20"/>
              </w:rPr>
            </w:pPr>
            <w:r w:rsidRPr="00A415D8">
              <w:rPr>
                <w:sz w:val="20"/>
              </w:rPr>
              <w:t>641</w:t>
            </w:r>
          </w:p>
        </w:tc>
      </w:tr>
      <w:tr w:rsidR="00B42640" w:rsidRPr="00A415D8" w14:paraId="1AD58046" w14:textId="77777777" w:rsidTr="00A37E1F">
        <w:trPr>
          <w:trHeight w:val="340"/>
        </w:trPr>
        <w:tc>
          <w:tcPr>
            <w:cnfStyle w:val="001000000000" w:firstRow="0" w:lastRow="0" w:firstColumn="1" w:lastColumn="0" w:oddVBand="0" w:evenVBand="0" w:oddHBand="0" w:evenHBand="0" w:firstRowFirstColumn="0" w:firstRowLastColumn="0" w:lastRowFirstColumn="0" w:lastRowLastColumn="0"/>
            <w:tcW w:w="5392" w:type="dxa"/>
            <w:vMerge/>
            <w:shd w:val="clear" w:color="auto" w:fill="E2EFD9" w:themeFill="accent6" w:themeFillTint="33"/>
            <w:vAlign w:val="center"/>
          </w:tcPr>
          <w:p w14:paraId="3914D964" w14:textId="77777777" w:rsidR="00B42640" w:rsidRPr="00A415D8" w:rsidRDefault="00B42640" w:rsidP="00CB3077">
            <w:pPr>
              <w:keepNext/>
              <w:keepLines/>
              <w:spacing w:line="276" w:lineRule="auto"/>
              <w:jc w:val="both"/>
              <w:rPr>
                <w:sz w:val="20"/>
              </w:rPr>
            </w:pPr>
          </w:p>
        </w:tc>
        <w:tc>
          <w:tcPr>
            <w:cnfStyle w:val="000010000000" w:firstRow="0" w:lastRow="0" w:firstColumn="0" w:lastColumn="0" w:oddVBand="1" w:evenVBand="0" w:oddHBand="0" w:evenHBand="0" w:firstRowFirstColumn="0" w:firstRowLastColumn="0" w:lastRowFirstColumn="0" w:lastRowLastColumn="0"/>
            <w:tcW w:w="2229" w:type="dxa"/>
            <w:vAlign w:val="center"/>
          </w:tcPr>
          <w:p w14:paraId="6FE4B2F5" w14:textId="77777777" w:rsidR="00B42640" w:rsidRPr="00A415D8" w:rsidRDefault="00B42640" w:rsidP="00CB3077">
            <w:pPr>
              <w:keepNext/>
              <w:keepLines/>
              <w:spacing w:line="276" w:lineRule="auto"/>
              <w:jc w:val="both"/>
              <w:rPr>
                <w:sz w:val="20"/>
              </w:rPr>
            </w:pPr>
            <w:r w:rsidRPr="00A415D8">
              <w:rPr>
                <w:sz w:val="20"/>
              </w:rPr>
              <w:t>ostatné právne formy</w:t>
            </w:r>
          </w:p>
        </w:tc>
        <w:tc>
          <w:tcPr>
            <w:tcW w:w="992" w:type="dxa"/>
            <w:vAlign w:val="center"/>
          </w:tcPr>
          <w:p w14:paraId="33B254D8"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r w:rsidRPr="00A415D8">
              <w:rPr>
                <w:sz w:val="20"/>
              </w:rPr>
              <w:t>311,315</w:t>
            </w:r>
          </w:p>
        </w:tc>
        <w:tc>
          <w:tcPr>
            <w:cnfStyle w:val="000100000000" w:firstRow="0" w:lastRow="0" w:firstColumn="0" w:lastColumn="1" w:oddVBand="0" w:evenVBand="0" w:oddHBand="0" w:evenHBand="0" w:firstRowFirstColumn="0" w:firstRowLastColumn="0" w:lastRowFirstColumn="0" w:lastRowLastColumn="0"/>
            <w:tcW w:w="993" w:type="dxa"/>
            <w:vAlign w:val="center"/>
          </w:tcPr>
          <w:p w14:paraId="5B6DB56A" w14:textId="77777777" w:rsidR="00B42640" w:rsidRPr="00A415D8" w:rsidRDefault="00B42640" w:rsidP="00CB3077">
            <w:pPr>
              <w:keepNext/>
              <w:keepLines/>
              <w:spacing w:line="276" w:lineRule="auto"/>
              <w:jc w:val="both"/>
              <w:rPr>
                <w:sz w:val="20"/>
              </w:rPr>
            </w:pPr>
            <w:r w:rsidRPr="00A415D8">
              <w:rPr>
                <w:sz w:val="20"/>
              </w:rPr>
              <w:t>641</w:t>
            </w:r>
          </w:p>
        </w:tc>
      </w:tr>
      <w:tr w:rsidR="00B42640" w:rsidRPr="00A415D8" w14:paraId="50208DC0" w14:textId="77777777" w:rsidTr="00A37E1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392" w:type="dxa"/>
            <w:vMerge w:val="restart"/>
            <w:shd w:val="clear" w:color="auto" w:fill="E2EFD9" w:themeFill="accent6" w:themeFillTint="33"/>
            <w:vAlign w:val="center"/>
          </w:tcPr>
          <w:p w14:paraId="0BA6ABF7" w14:textId="77777777" w:rsidR="00B42640" w:rsidRPr="00A415D8" w:rsidRDefault="00B42640" w:rsidP="00CB3077">
            <w:pPr>
              <w:keepNext/>
              <w:keepLines/>
              <w:spacing w:line="276" w:lineRule="auto"/>
              <w:jc w:val="both"/>
              <w:rPr>
                <w:sz w:val="20"/>
              </w:rPr>
            </w:pPr>
            <w:r w:rsidRPr="00A415D8">
              <w:rPr>
                <w:sz w:val="20"/>
              </w:rPr>
              <w:t>Inkaso nedaňových príjmov  z predaja dlhodobého majetku</w:t>
            </w:r>
          </w:p>
        </w:tc>
        <w:tc>
          <w:tcPr>
            <w:cnfStyle w:val="000010000000" w:firstRow="0" w:lastRow="0" w:firstColumn="0" w:lastColumn="0" w:oddVBand="1" w:evenVBand="0" w:oddHBand="0" w:evenHBand="0" w:firstRowFirstColumn="0" w:firstRowLastColumn="0" w:lastRowFirstColumn="0" w:lastRowLastColumn="0"/>
            <w:tcW w:w="2229" w:type="dxa"/>
            <w:vAlign w:val="center"/>
          </w:tcPr>
          <w:p w14:paraId="141FCE7E" w14:textId="77777777" w:rsidR="00B42640" w:rsidRPr="00A415D8" w:rsidRDefault="00B42640" w:rsidP="00CB3077">
            <w:pPr>
              <w:keepNext/>
              <w:keepLines/>
              <w:spacing w:line="276" w:lineRule="auto"/>
              <w:jc w:val="both"/>
              <w:rPr>
                <w:sz w:val="20"/>
              </w:rPr>
            </w:pPr>
            <w:r w:rsidRPr="00A415D8">
              <w:rPr>
                <w:sz w:val="20"/>
              </w:rPr>
              <w:t>ŠRO</w:t>
            </w:r>
          </w:p>
        </w:tc>
        <w:tc>
          <w:tcPr>
            <w:tcW w:w="992" w:type="dxa"/>
            <w:vAlign w:val="center"/>
          </w:tcPr>
          <w:p w14:paraId="23416E40" w14:textId="77777777" w:rsidR="00B42640" w:rsidRPr="00A415D8" w:rsidRDefault="00B42640" w:rsidP="00CB3077">
            <w:pPr>
              <w:keepNext/>
              <w:keepLines/>
              <w:spacing w:line="276" w:lineRule="auto"/>
              <w:jc w:val="both"/>
              <w:cnfStyle w:val="000000100000" w:firstRow="0" w:lastRow="0" w:firstColumn="0" w:lastColumn="0" w:oddVBand="0" w:evenVBand="0" w:oddHBand="1" w:evenHBand="0" w:firstRowFirstColumn="0" w:firstRowLastColumn="0" w:lastRowFirstColumn="0" w:lastRowLastColumn="0"/>
              <w:rPr>
                <w:sz w:val="20"/>
              </w:rPr>
            </w:pPr>
            <w:r w:rsidRPr="00A415D8">
              <w:rPr>
                <w:sz w:val="20"/>
              </w:rPr>
              <w:t>224</w:t>
            </w:r>
          </w:p>
        </w:tc>
        <w:tc>
          <w:tcPr>
            <w:cnfStyle w:val="000100000000" w:firstRow="0" w:lastRow="0" w:firstColumn="0" w:lastColumn="1" w:oddVBand="0" w:evenVBand="0" w:oddHBand="0" w:evenHBand="0" w:firstRowFirstColumn="0" w:firstRowLastColumn="0" w:lastRowFirstColumn="0" w:lastRowLastColumn="0"/>
            <w:tcW w:w="993" w:type="dxa"/>
            <w:vAlign w:val="center"/>
          </w:tcPr>
          <w:p w14:paraId="202F42C0" w14:textId="77777777" w:rsidR="00B42640" w:rsidRPr="00A415D8" w:rsidRDefault="00B42640" w:rsidP="00CB3077">
            <w:pPr>
              <w:keepNext/>
              <w:keepLines/>
              <w:spacing w:line="276" w:lineRule="auto"/>
              <w:jc w:val="both"/>
              <w:rPr>
                <w:sz w:val="20"/>
              </w:rPr>
            </w:pPr>
            <w:r w:rsidRPr="00A415D8">
              <w:rPr>
                <w:sz w:val="20"/>
              </w:rPr>
              <w:t>316</w:t>
            </w:r>
          </w:p>
        </w:tc>
      </w:tr>
      <w:tr w:rsidR="00B42640" w:rsidRPr="00A415D8" w14:paraId="08D9BE96" w14:textId="77777777" w:rsidTr="00A37E1F">
        <w:trPr>
          <w:trHeight w:val="340"/>
        </w:trPr>
        <w:tc>
          <w:tcPr>
            <w:cnfStyle w:val="001000000000" w:firstRow="0" w:lastRow="0" w:firstColumn="1" w:lastColumn="0" w:oddVBand="0" w:evenVBand="0" w:oddHBand="0" w:evenHBand="0" w:firstRowFirstColumn="0" w:firstRowLastColumn="0" w:lastRowFirstColumn="0" w:lastRowLastColumn="0"/>
            <w:tcW w:w="5392" w:type="dxa"/>
            <w:vMerge/>
            <w:shd w:val="clear" w:color="auto" w:fill="E2EFD9" w:themeFill="accent6" w:themeFillTint="33"/>
            <w:vAlign w:val="center"/>
          </w:tcPr>
          <w:p w14:paraId="0BEADBF7" w14:textId="77777777" w:rsidR="00B42640" w:rsidRPr="00A415D8" w:rsidRDefault="00B42640" w:rsidP="00CB3077">
            <w:pPr>
              <w:keepNext/>
              <w:keepLines/>
              <w:spacing w:line="276" w:lineRule="auto"/>
              <w:jc w:val="both"/>
              <w:rPr>
                <w:sz w:val="20"/>
              </w:rPr>
            </w:pPr>
          </w:p>
        </w:tc>
        <w:tc>
          <w:tcPr>
            <w:cnfStyle w:val="000010000000" w:firstRow="0" w:lastRow="0" w:firstColumn="0" w:lastColumn="0" w:oddVBand="1" w:evenVBand="0" w:oddHBand="0" w:evenHBand="0" w:firstRowFirstColumn="0" w:firstRowLastColumn="0" w:lastRowFirstColumn="0" w:lastRowLastColumn="0"/>
            <w:tcW w:w="2229" w:type="dxa"/>
            <w:vAlign w:val="center"/>
          </w:tcPr>
          <w:p w14:paraId="4C0544B5" w14:textId="77777777" w:rsidR="00B42640" w:rsidRPr="00A415D8" w:rsidRDefault="00B42640" w:rsidP="00CB3077">
            <w:pPr>
              <w:keepNext/>
              <w:keepLines/>
              <w:spacing w:line="276" w:lineRule="auto"/>
              <w:jc w:val="both"/>
              <w:rPr>
                <w:sz w:val="20"/>
              </w:rPr>
            </w:pPr>
            <w:r w:rsidRPr="00A415D8">
              <w:rPr>
                <w:sz w:val="20"/>
              </w:rPr>
              <w:t>ostatné právne formy</w:t>
            </w:r>
          </w:p>
        </w:tc>
        <w:tc>
          <w:tcPr>
            <w:tcW w:w="992" w:type="dxa"/>
            <w:vAlign w:val="center"/>
          </w:tcPr>
          <w:p w14:paraId="0129B384"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r w:rsidRPr="00A415D8">
              <w:rPr>
                <w:sz w:val="20"/>
              </w:rPr>
              <w:t>221</w:t>
            </w:r>
          </w:p>
        </w:tc>
        <w:tc>
          <w:tcPr>
            <w:cnfStyle w:val="000100000000" w:firstRow="0" w:lastRow="0" w:firstColumn="0" w:lastColumn="1" w:oddVBand="0" w:evenVBand="0" w:oddHBand="0" w:evenHBand="0" w:firstRowFirstColumn="0" w:firstRowLastColumn="0" w:lastRowFirstColumn="0" w:lastRowLastColumn="0"/>
            <w:tcW w:w="993" w:type="dxa"/>
            <w:vAlign w:val="center"/>
          </w:tcPr>
          <w:p w14:paraId="37D887AD" w14:textId="77777777" w:rsidR="00B42640" w:rsidRPr="00A415D8" w:rsidRDefault="00B42640" w:rsidP="00CB3077">
            <w:pPr>
              <w:keepNext/>
              <w:keepLines/>
              <w:spacing w:line="276" w:lineRule="auto"/>
              <w:jc w:val="both"/>
              <w:rPr>
                <w:sz w:val="20"/>
              </w:rPr>
            </w:pPr>
            <w:r w:rsidRPr="00A415D8">
              <w:rPr>
                <w:sz w:val="20"/>
              </w:rPr>
              <w:t>311,315</w:t>
            </w:r>
          </w:p>
        </w:tc>
      </w:tr>
      <w:tr w:rsidR="00B42640" w:rsidRPr="00A415D8" w14:paraId="12E46742" w14:textId="77777777" w:rsidTr="00A37E1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392" w:type="dxa"/>
            <w:shd w:val="clear" w:color="auto" w:fill="E2EFD9" w:themeFill="accent6" w:themeFillTint="33"/>
            <w:vAlign w:val="center"/>
          </w:tcPr>
          <w:p w14:paraId="24712B0E" w14:textId="77777777" w:rsidR="00B42640" w:rsidRPr="00A415D8" w:rsidRDefault="00B42640" w:rsidP="00CB3077">
            <w:pPr>
              <w:keepNext/>
              <w:keepLines/>
              <w:spacing w:line="276" w:lineRule="auto"/>
              <w:jc w:val="both"/>
              <w:rPr>
                <w:sz w:val="20"/>
              </w:rPr>
            </w:pPr>
            <w:r w:rsidRPr="00A415D8">
              <w:rPr>
                <w:sz w:val="20"/>
              </w:rPr>
              <w:t>Predpis odvodu rozpočtových príjmov vo výške vyinkasovaných príjmov</w:t>
            </w:r>
          </w:p>
        </w:tc>
        <w:tc>
          <w:tcPr>
            <w:cnfStyle w:val="000010000000" w:firstRow="0" w:lastRow="0" w:firstColumn="0" w:lastColumn="0" w:oddVBand="1" w:evenVBand="0" w:oddHBand="0" w:evenHBand="0" w:firstRowFirstColumn="0" w:firstRowLastColumn="0" w:lastRowFirstColumn="0" w:lastRowLastColumn="0"/>
            <w:tcW w:w="2229" w:type="dxa"/>
            <w:vAlign w:val="center"/>
          </w:tcPr>
          <w:p w14:paraId="248D7228" w14:textId="77777777" w:rsidR="00B42640" w:rsidRPr="00A415D8" w:rsidRDefault="00B42640" w:rsidP="00CB3077">
            <w:pPr>
              <w:keepNext/>
              <w:keepLines/>
              <w:spacing w:line="276" w:lineRule="auto"/>
              <w:jc w:val="both"/>
              <w:rPr>
                <w:sz w:val="20"/>
              </w:rPr>
            </w:pPr>
            <w:r w:rsidRPr="00A415D8">
              <w:rPr>
                <w:sz w:val="20"/>
              </w:rPr>
              <w:t>všetky právne formy</w:t>
            </w:r>
          </w:p>
        </w:tc>
        <w:tc>
          <w:tcPr>
            <w:tcW w:w="992" w:type="dxa"/>
            <w:vAlign w:val="center"/>
          </w:tcPr>
          <w:p w14:paraId="6161399A" w14:textId="77777777" w:rsidR="00B42640" w:rsidRPr="00A415D8" w:rsidRDefault="00B42640" w:rsidP="00CB3077">
            <w:pPr>
              <w:keepNext/>
              <w:keepLines/>
              <w:spacing w:line="276" w:lineRule="auto"/>
              <w:jc w:val="both"/>
              <w:cnfStyle w:val="000000100000" w:firstRow="0" w:lastRow="0" w:firstColumn="0" w:lastColumn="0" w:oddVBand="0" w:evenVBand="0" w:oddHBand="1" w:evenHBand="0" w:firstRowFirstColumn="0" w:firstRowLastColumn="0" w:lastRowFirstColumn="0" w:lastRowLastColumn="0"/>
              <w:rPr>
                <w:sz w:val="20"/>
              </w:rPr>
            </w:pPr>
            <w:r w:rsidRPr="00A415D8">
              <w:rPr>
                <w:sz w:val="20"/>
              </w:rPr>
              <w:t>588</w:t>
            </w:r>
          </w:p>
        </w:tc>
        <w:tc>
          <w:tcPr>
            <w:cnfStyle w:val="000100000000" w:firstRow="0" w:lastRow="0" w:firstColumn="0" w:lastColumn="1" w:oddVBand="0" w:evenVBand="0" w:oddHBand="0" w:evenHBand="0" w:firstRowFirstColumn="0" w:firstRowLastColumn="0" w:lastRowFirstColumn="0" w:lastRowLastColumn="0"/>
            <w:tcW w:w="993" w:type="dxa"/>
            <w:vAlign w:val="center"/>
          </w:tcPr>
          <w:p w14:paraId="69EBB750" w14:textId="77777777" w:rsidR="00B42640" w:rsidRPr="00A415D8" w:rsidRDefault="00B42640" w:rsidP="00CB3077">
            <w:pPr>
              <w:keepNext/>
              <w:keepLines/>
              <w:spacing w:line="276" w:lineRule="auto"/>
              <w:jc w:val="both"/>
              <w:rPr>
                <w:sz w:val="20"/>
              </w:rPr>
            </w:pPr>
            <w:r w:rsidRPr="00A415D8">
              <w:rPr>
                <w:sz w:val="20"/>
              </w:rPr>
              <w:t>351</w:t>
            </w:r>
          </w:p>
        </w:tc>
      </w:tr>
      <w:tr w:rsidR="00B42640" w:rsidRPr="00A415D8" w14:paraId="5EE4B196" w14:textId="77777777" w:rsidTr="00A37E1F">
        <w:trPr>
          <w:trHeight w:val="340"/>
        </w:trPr>
        <w:tc>
          <w:tcPr>
            <w:cnfStyle w:val="001000000000" w:firstRow="0" w:lastRow="0" w:firstColumn="1" w:lastColumn="0" w:oddVBand="0" w:evenVBand="0" w:oddHBand="0" w:evenHBand="0" w:firstRowFirstColumn="0" w:firstRowLastColumn="0" w:lastRowFirstColumn="0" w:lastRowLastColumn="0"/>
            <w:tcW w:w="5392" w:type="dxa"/>
            <w:shd w:val="clear" w:color="auto" w:fill="E2EFD9" w:themeFill="accent6" w:themeFillTint="33"/>
            <w:vAlign w:val="center"/>
          </w:tcPr>
          <w:p w14:paraId="5F5A17BB" w14:textId="77777777" w:rsidR="00B42640" w:rsidRPr="00A415D8" w:rsidRDefault="00B42640" w:rsidP="00CB3077">
            <w:pPr>
              <w:keepNext/>
              <w:keepLines/>
              <w:spacing w:line="276" w:lineRule="auto"/>
              <w:jc w:val="both"/>
              <w:rPr>
                <w:sz w:val="20"/>
              </w:rPr>
            </w:pPr>
            <w:r w:rsidRPr="00A415D8">
              <w:rPr>
                <w:sz w:val="20"/>
              </w:rPr>
              <w:t>Predpis budúceho odvodu rozpočtových príjmov do rozpočtu zriaďovateľa vo výške nevyinkasovaných príjmov, ktoré sú ale výnosom bežného účtovného obdobia – účtuje sa ku dňu, ku ktorému sa zostavuje účtovná závierka</w:t>
            </w:r>
          </w:p>
        </w:tc>
        <w:tc>
          <w:tcPr>
            <w:cnfStyle w:val="000010000000" w:firstRow="0" w:lastRow="0" w:firstColumn="0" w:lastColumn="0" w:oddVBand="1" w:evenVBand="0" w:oddHBand="0" w:evenHBand="0" w:firstRowFirstColumn="0" w:firstRowLastColumn="0" w:lastRowFirstColumn="0" w:lastRowLastColumn="0"/>
            <w:tcW w:w="2229" w:type="dxa"/>
            <w:vAlign w:val="center"/>
          </w:tcPr>
          <w:p w14:paraId="1E4D4916" w14:textId="77777777" w:rsidR="00B42640" w:rsidRPr="00A415D8" w:rsidRDefault="00B42640" w:rsidP="00CB3077">
            <w:pPr>
              <w:keepNext/>
              <w:keepLines/>
              <w:spacing w:line="276" w:lineRule="auto"/>
              <w:jc w:val="both"/>
              <w:rPr>
                <w:sz w:val="20"/>
              </w:rPr>
            </w:pPr>
            <w:r w:rsidRPr="00A415D8">
              <w:rPr>
                <w:sz w:val="20"/>
              </w:rPr>
              <w:t>všetky právne formy</w:t>
            </w:r>
          </w:p>
        </w:tc>
        <w:tc>
          <w:tcPr>
            <w:tcW w:w="992" w:type="dxa"/>
            <w:vAlign w:val="center"/>
          </w:tcPr>
          <w:p w14:paraId="15F996E7"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p>
          <w:p w14:paraId="231EE174"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r w:rsidRPr="00A415D8">
              <w:rPr>
                <w:sz w:val="20"/>
              </w:rPr>
              <w:t>589</w:t>
            </w:r>
          </w:p>
        </w:tc>
        <w:tc>
          <w:tcPr>
            <w:cnfStyle w:val="000100000000" w:firstRow="0" w:lastRow="0" w:firstColumn="0" w:lastColumn="1" w:oddVBand="0" w:evenVBand="0" w:oddHBand="0" w:evenHBand="0" w:firstRowFirstColumn="0" w:firstRowLastColumn="0" w:lastRowFirstColumn="0" w:lastRowLastColumn="0"/>
            <w:tcW w:w="993" w:type="dxa"/>
            <w:vAlign w:val="center"/>
          </w:tcPr>
          <w:p w14:paraId="72BBE831" w14:textId="77777777" w:rsidR="00B42640" w:rsidRPr="00A415D8" w:rsidRDefault="00B42640" w:rsidP="00CB3077">
            <w:pPr>
              <w:keepNext/>
              <w:keepLines/>
              <w:spacing w:line="276" w:lineRule="auto"/>
              <w:jc w:val="both"/>
              <w:rPr>
                <w:sz w:val="20"/>
              </w:rPr>
            </w:pPr>
          </w:p>
          <w:p w14:paraId="2DC7A3D3" w14:textId="77777777" w:rsidR="00B42640" w:rsidRPr="00A415D8" w:rsidRDefault="00B42640" w:rsidP="00CB3077">
            <w:pPr>
              <w:keepNext/>
              <w:keepLines/>
              <w:spacing w:line="276" w:lineRule="auto"/>
              <w:jc w:val="both"/>
              <w:rPr>
                <w:sz w:val="20"/>
              </w:rPr>
            </w:pPr>
            <w:r w:rsidRPr="00A415D8">
              <w:rPr>
                <w:sz w:val="20"/>
              </w:rPr>
              <w:t>351</w:t>
            </w:r>
          </w:p>
        </w:tc>
      </w:tr>
      <w:tr w:rsidR="00B42640" w:rsidRPr="00A415D8" w14:paraId="58C64608" w14:textId="77777777" w:rsidTr="00A37E1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392" w:type="dxa"/>
            <w:shd w:val="clear" w:color="auto" w:fill="E2EFD9" w:themeFill="accent6" w:themeFillTint="33"/>
            <w:vAlign w:val="center"/>
          </w:tcPr>
          <w:p w14:paraId="067DC2D4" w14:textId="77777777" w:rsidR="00B42640" w:rsidRPr="00A415D8" w:rsidRDefault="00B42640" w:rsidP="00CB3077">
            <w:pPr>
              <w:keepNext/>
              <w:keepLines/>
              <w:spacing w:line="276" w:lineRule="auto"/>
              <w:jc w:val="both"/>
              <w:rPr>
                <w:sz w:val="20"/>
              </w:rPr>
            </w:pPr>
            <w:r w:rsidRPr="00A415D8">
              <w:rPr>
                <w:sz w:val="20"/>
              </w:rPr>
              <w:t>Vznik pohľadávky z daňových príjmov štátu</w:t>
            </w:r>
          </w:p>
        </w:tc>
        <w:tc>
          <w:tcPr>
            <w:cnfStyle w:val="000010000000" w:firstRow="0" w:lastRow="0" w:firstColumn="0" w:lastColumn="0" w:oddVBand="1" w:evenVBand="0" w:oddHBand="0" w:evenHBand="0" w:firstRowFirstColumn="0" w:firstRowLastColumn="0" w:lastRowFirstColumn="0" w:lastRowLastColumn="0"/>
            <w:tcW w:w="2229" w:type="dxa"/>
            <w:vAlign w:val="center"/>
          </w:tcPr>
          <w:p w14:paraId="21A7F1BF" w14:textId="77777777" w:rsidR="00B42640" w:rsidRPr="00A415D8" w:rsidRDefault="00B42640" w:rsidP="00CB3077">
            <w:pPr>
              <w:keepNext/>
              <w:keepLines/>
              <w:spacing w:line="276" w:lineRule="auto"/>
              <w:jc w:val="both"/>
              <w:rPr>
                <w:sz w:val="20"/>
              </w:rPr>
            </w:pPr>
            <w:r w:rsidRPr="00A415D8">
              <w:rPr>
                <w:sz w:val="20"/>
              </w:rPr>
              <w:t>ŠRO</w:t>
            </w:r>
          </w:p>
        </w:tc>
        <w:tc>
          <w:tcPr>
            <w:tcW w:w="992" w:type="dxa"/>
            <w:vAlign w:val="center"/>
          </w:tcPr>
          <w:p w14:paraId="42F1DEBD" w14:textId="77777777" w:rsidR="00B42640" w:rsidRPr="00A415D8" w:rsidRDefault="00B42640" w:rsidP="00CB3077">
            <w:pPr>
              <w:keepNext/>
              <w:keepLines/>
              <w:spacing w:line="276" w:lineRule="auto"/>
              <w:jc w:val="both"/>
              <w:cnfStyle w:val="000000100000" w:firstRow="0" w:lastRow="0" w:firstColumn="0" w:lastColumn="0" w:oddVBand="0" w:evenVBand="0" w:oddHBand="1" w:evenHBand="0" w:firstRowFirstColumn="0" w:firstRowLastColumn="0" w:lastRowFirstColumn="0" w:lastRowLastColumn="0"/>
              <w:rPr>
                <w:sz w:val="20"/>
              </w:rPr>
            </w:pPr>
            <w:r w:rsidRPr="00A415D8">
              <w:rPr>
                <w:sz w:val="20"/>
              </w:rPr>
              <w:t>317</w:t>
            </w:r>
          </w:p>
        </w:tc>
        <w:tc>
          <w:tcPr>
            <w:cnfStyle w:val="000100000000" w:firstRow="0" w:lastRow="0" w:firstColumn="0" w:lastColumn="1" w:oddVBand="0" w:evenVBand="0" w:oddHBand="0" w:evenHBand="0" w:firstRowFirstColumn="0" w:firstRowLastColumn="0" w:lastRowFirstColumn="0" w:lastRowLastColumn="0"/>
            <w:tcW w:w="993" w:type="dxa"/>
            <w:vAlign w:val="center"/>
          </w:tcPr>
          <w:p w14:paraId="53FAD4E5" w14:textId="77777777" w:rsidR="00B42640" w:rsidRPr="00A415D8" w:rsidRDefault="00B42640" w:rsidP="00CB3077">
            <w:pPr>
              <w:keepNext/>
              <w:keepLines/>
              <w:spacing w:line="276" w:lineRule="auto"/>
              <w:jc w:val="both"/>
              <w:rPr>
                <w:sz w:val="20"/>
              </w:rPr>
            </w:pPr>
            <w:r w:rsidRPr="00A415D8">
              <w:rPr>
                <w:sz w:val="20"/>
              </w:rPr>
              <w:t>631</w:t>
            </w:r>
          </w:p>
        </w:tc>
      </w:tr>
      <w:tr w:rsidR="00B42640" w:rsidRPr="00A415D8" w14:paraId="69719BD6" w14:textId="77777777" w:rsidTr="00A37E1F">
        <w:trPr>
          <w:trHeight w:val="340"/>
        </w:trPr>
        <w:tc>
          <w:tcPr>
            <w:cnfStyle w:val="001000000000" w:firstRow="0" w:lastRow="0" w:firstColumn="1" w:lastColumn="0" w:oddVBand="0" w:evenVBand="0" w:oddHBand="0" w:evenHBand="0" w:firstRowFirstColumn="0" w:firstRowLastColumn="0" w:lastRowFirstColumn="0" w:lastRowLastColumn="0"/>
            <w:tcW w:w="5392" w:type="dxa"/>
            <w:shd w:val="clear" w:color="auto" w:fill="E2EFD9" w:themeFill="accent6" w:themeFillTint="33"/>
            <w:vAlign w:val="center"/>
          </w:tcPr>
          <w:p w14:paraId="49798FE0" w14:textId="77777777" w:rsidR="00B42640" w:rsidRPr="00A415D8" w:rsidRDefault="00B42640" w:rsidP="00CB3077">
            <w:pPr>
              <w:keepNext/>
              <w:keepLines/>
              <w:spacing w:line="276" w:lineRule="auto"/>
              <w:jc w:val="both"/>
              <w:rPr>
                <w:sz w:val="20"/>
              </w:rPr>
            </w:pPr>
            <w:r w:rsidRPr="00A415D8">
              <w:rPr>
                <w:sz w:val="20"/>
              </w:rPr>
              <w:t>Inkaso daňových príjmov štátu</w:t>
            </w:r>
          </w:p>
        </w:tc>
        <w:tc>
          <w:tcPr>
            <w:cnfStyle w:val="000010000000" w:firstRow="0" w:lastRow="0" w:firstColumn="0" w:lastColumn="0" w:oddVBand="1" w:evenVBand="0" w:oddHBand="0" w:evenHBand="0" w:firstRowFirstColumn="0" w:firstRowLastColumn="0" w:lastRowFirstColumn="0" w:lastRowLastColumn="0"/>
            <w:tcW w:w="2229" w:type="dxa"/>
            <w:vAlign w:val="center"/>
          </w:tcPr>
          <w:p w14:paraId="57915E96" w14:textId="77777777" w:rsidR="00B42640" w:rsidRPr="00A415D8" w:rsidRDefault="00B42640" w:rsidP="00CB3077">
            <w:pPr>
              <w:keepNext/>
              <w:keepLines/>
              <w:spacing w:line="276" w:lineRule="auto"/>
              <w:jc w:val="both"/>
              <w:rPr>
                <w:sz w:val="20"/>
              </w:rPr>
            </w:pPr>
            <w:r w:rsidRPr="00A415D8">
              <w:rPr>
                <w:sz w:val="20"/>
              </w:rPr>
              <w:t>ŠRO</w:t>
            </w:r>
          </w:p>
        </w:tc>
        <w:tc>
          <w:tcPr>
            <w:tcW w:w="992" w:type="dxa"/>
            <w:vAlign w:val="center"/>
          </w:tcPr>
          <w:p w14:paraId="7EE69501"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r w:rsidRPr="00A415D8">
              <w:rPr>
                <w:sz w:val="20"/>
              </w:rPr>
              <w:t>224</w:t>
            </w:r>
          </w:p>
        </w:tc>
        <w:tc>
          <w:tcPr>
            <w:cnfStyle w:val="000100000000" w:firstRow="0" w:lastRow="0" w:firstColumn="0" w:lastColumn="1" w:oddVBand="0" w:evenVBand="0" w:oddHBand="0" w:evenHBand="0" w:firstRowFirstColumn="0" w:firstRowLastColumn="0" w:lastRowFirstColumn="0" w:lastRowLastColumn="0"/>
            <w:tcW w:w="993" w:type="dxa"/>
            <w:vAlign w:val="center"/>
          </w:tcPr>
          <w:p w14:paraId="6EEF3282" w14:textId="77777777" w:rsidR="00B42640" w:rsidRPr="00A415D8" w:rsidRDefault="00B42640" w:rsidP="00CB3077">
            <w:pPr>
              <w:keepNext/>
              <w:keepLines/>
              <w:spacing w:line="276" w:lineRule="auto"/>
              <w:jc w:val="both"/>
              <w:rPr>
                <w:sz w:val="20"/>
              </w:rPr>
            </w:pPr>
            <w:r w:rsidRPr="00A415D8">
              <w:rPr>
                <w:sz w:val="20"/>
              </w:rPr>
              <w:t>317</w:t>
            </w:r>
          </w:p>
        </w:tc>
      </w:tr>
      <w:tr w:rsidR="00B42640" w:rsidRPr="00A415D8" w14:paraId="23552722" w14:textId="77777777" w:rsidTr="00A37E1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392" w:type="dxa"/>
            <w:shd w:val="clear" w:color="auto" w:fill="E2EFD9" w:themeFill="accent6" w:themeFillTint="33"/>
            <w:vAlign w:val="center"/>
          </w:tcPr>
          <w:p w14:paraId="46744F43" w14:textId="77777777" w:rsidR="00B42640" w:rsidRPr="00A415D8" w:rsidRDefault="00B42640" w:rsidP="00CB3077">
            <w:pPr>
              <w:keepNext/>
              <w:keepLines/>
              <w:spacing w:line="276" w:lineRule="auto"/>
              <w:jc w:val="both"/>
              <w:rPr>
                <w:sz w:val="20"/>
              </w:rPr>
            </w:pPr>
            <w:r w:rsidRPr="00A415D8">
              <w:rPr>
                <w:sz w:val="20"/>
              </w:rPr>
              <w:t>Vznik pohľadávky z colných príjmov</w:t>
            </w:r>
          </w:p>
        </w:tc>
        <w:tc>
          <w:tcPr>
            <w:cnfStyle w:val="000010000000" w:firstRow="0" w:lastRow="0" w:firstColumn="0" w:lastColumn="0" w:oddVBand="1" w:evenVBand="0" w:oddHBand="0" w:evenHBand="0" w:firstRowFirstColumn="0" w:firstRowLastColumn="0" w:lastRowFirstColumn="0" w:lastRowLastColumn="0"/>
            <w:tcW w:w="2229" w:type="dxa"/>
            <w:vAlign w:val="center"/>
          </w:tcPr>
          <w:p w14:paraId="7711941B" w14:textId="77777777" w:rsidR="00B42640" w:rsidRPr="00A415D8" w:rsidRDefault="00B42640" w:rsidP="00CB3077">
            <w:pPr>
              <w:keepNext/>
              <w:keepLines/>
              <w:spacing w:line="276" w:lineRule="auto"/>
              <w:jc w:val="both"/>
              <w:rPr>
                <w:sz w:val="20"/>
              </w:rPr>
            </w:pPr>
            <w:r w:rsidRPr="00A415D8">
              <w:rPr>
                <w:sz w:val="20"/>
              </w:rPr>
              <w:t>ŠRO</w:t>
            </w:r>
          </w:p>
        </w:tc>
        <w:tc>
          <w:tcPr>
            <w:tcW w:w="992" w:type="dxa"/>
            <w:vAlign w:val="center"/>
          </w:tcPr>
          <w:p w14:paraId="786BB6AF" w14:textId="77777777" w:rsidR="00B42640" w:rsidRPr="00A415D8" w:rsidRDefault="00B42640" w:rsidP="00CB3077">
            <w:pPr>
              <w:keepNext/>
              <w:keepLines/>
              <w:spacing w:line="276" w:lineRule="auto"/>
              <w:jc w:val="both"/>
              <w:cnfStyle w:val="000000100000" w:firstRow="0" w:lastRow="0" w:firstColumn="0" w:lastColumn="0" w:oddVBand="0" w:evenVBand="0" w:oddHBand="1" w:evenHBand="0" w:firstRowFirstColumn="0" w:firstRowLastColumn="0" w:lastRowFirstColumn="0" w:lastRowLastColumn="0"/>
              <w:rPr>
                <w:sz w:val="20"/>
              </w:rPr>
            </w:pPr>
            <w:r w:rsidRPr="00A415D8">
              <w:rPr>
                <w:sz w:val="20"/>
              </w:rPr>
              <w:t>317</w:t>
            </w:r>
          </w:p>
        </w:tc>
        <w:tc>
          <w:tcPr>
            <w:cnfStyle w:val="000100000000" w:firstRow="0" w:lastRow="0" w:firstColumn="0" w:lastColumn="1" w:oddVBand="0" w:evenVBand="0" w:oddHBand="0" w:evenHBand="0" w:firstRowFirstColumn="0" w:firstRowLastColumn="0" w:lastRowFirstColumn="0" w:lastRowLastColumn="0"/>
            <w:tcW w:w="993" w:type="dxa"/>
            <w:vAlign w:val="center"/>
          </w:tcPr>
          <w:p w14:paraId="574C408C" w14:textId="77777777" w:rsidR="00B42640" w:rsidRPr="00A415D8" w:rsidRDefault="00B42640" w:rsidP="00CB3077">
            <w:pPr>
              <w:keepNext/>
              <w:keepLines/>
              <w:spacing w:line="276" w:lineRule="auto"/>
              <w:jc w:val="both"/>
              <w:rPr>
                <w:sz w:val="20"/>
              </w:rPr>
            </w:pPr>
            <w:r w:rsidRPr="00A415D8">
              <w:rPr>
                <w:sz w:val="20"/>
              </w:rPr>
              <w:t>631</w:t>
            </w:r>
          </w:p>
        </w:tc>
      </w:tr>
      <w:tr w:rsidR="00B42640" w:rsidRPr="00A415D8" w14:paraId="2541DDB5" w14:textId="77777777" w:rsidTr="00A37E1F">
        <w:trPr>
          <w:trHeight w:val="340"/>
        </w:trPr>
        <w:tc>
          <w:tcPr>
            <w:cnfStyle w:val="001000000000" w:firstRow="0" w:lastRow="0" w:firstColumn="1" w:lastColumn="0" w:oddVBand="0" w:evenVBand="0" w:oddHBand="0" w:evenHBand="0" w:firstRowFirstColumn="0" w:firstRowLastColumn="0" w:lastRowFirstColumn="0" w:lastRowLastColumn="0"/>
            <w:tcW w:w="5392" w:type="dxa"/>
            <w:shd w:val="clear" w:color="auto" w:fill="E2EFD9" w:themeFill="accent6" w:themeFillTint="33"/>
            <w:vAlign w:val="center"/>
          </w:tcPr>
          <w:p w14:paraId="14CB08E3" w14:textId="77777777" w:rsidR="00B42640" w:rsidRPr="00A415D8" w:rsidRDefault="00B42640" w:rsidP="00CB3077">
            <w:pPr>
              <w:keepNext/>
              <w:keepLines/>
              <w:spacing w:line="276" w:lineRule="auto"/>
              <w:jc w:val="both"/>
              <w:rPr>
                <w:sz w:val="20"/>
              </w:rPr>
            </w:pPr>
            <w:r w:rsidRPr="00A415D8">
              <w:rPr>
                <w:sz w:val="20"/>
              </w:rPr>
              <w:t>Inkaso colných príjmov</w:t>
            </w:r>
          </w:p>
        </w:tc>
        <w:tc>
          <w:tcPr>
            <w:cnfStyle w:val="000010000000" w:firstRow="0" w:lastRow="0" w:firstColumn="0" w:lastColumn="0" w:oddVBand="1" w:evenVBand="0" w:oddHBand="0" w:evenHBand="0" w:firstRowFirstColumn="0" w:firstRowLastColumn="0" w:lastRowFirstColumn="0" w:lastRowLastColumn="0"/>
            <w:tcW w:w="2229" w:type="dxa"/>
            <w:vAlign w:val="center"/>
          </w:tcPr>
          <w:p w14:paraId="4C20B585" w14:textId="77777777" w:rsidR="00B42640" w:rsidRPr="00A415D8" w:rsidRDefault="00B42640" w:rsidP="00CB3077">
            <w:pPr>
              <w:keepNext/>
              <w:keepLines/>
              <w:spacing w:line="276" w:lineRule="auto"/>
              <w:jc w:val="both"/>
              <w:rPr>
                <w:sz w:val="20"/>
              </w:rPr>
            </w:pPr>
            <w:r w:rsidRPr="00A415D8">
              <w:rPr>
                <w:sz w:val="20"/>
              </w:rPr>
              <w:t>ŠRO</w:t>
            </w:r>
          </w:p>
        </w:tc>
        <w:tc>
          <w:tcPr>
            <w:tcW w:w="992" w:type="dxa"/>
            <w:vAlign w:val="center"/>
          </w:tcPr>
          <w:p w14:paraId="1DE08CFB"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r w:rsidRPr="00A415D8">
              <w:rPr>
                <w:sz w:val="20"/>
              </w:rPr>
              <w:t>224</w:t>
            </w:r>
          </w:p>
        </w:tc>
        <w:tc>
          <w:tcPr>
            <w:cnfStyle w:val="000100000000" w:firstRow="0" w:lastRow="0" w:firstColumn="0" w:lastColumn="1" w:oddVBand="0" w:evenVBand="0" w:oddHBand="0" w:evenHBand="0" w:firstRowFirstColumn="0" w:firstRowLastColumn="0" w:lastRowFirstColumn="0" w:lastRowLastColumn="0"/>
            <w:tcW w:w="993" w:type="dxa"/>
            <w:vAlign w:val="center"/>
          </w:tcPr>
          <w:p w14:paraId="4A8D2E9B" w14:textId="77777777" w:rsidR="00B42640" w:rsidRPr="00A415D8" w:rsidRDefault="00B42640" w:rsidP="00CB3077">
            <w:pPr>
              <w:keepNext/>
              <w:keepLines/>
              <w:spacing w:line="276" w:lineRule="auto"/>
              <w:jc w:val="both"/>
              <w:rPr>
                <w:sz w:val="20"/>
              </w:rPr>
            </w:pPr>
            <w:r w:rsidRPr="00A415D8">
              <w:rPr>
                <w:sz w:val="20"/>
              </w:rPr>
              <w:t>317</w:t>
            </w:r>
          </w:p>
        </w:tc>
      </w:tr>
      <w:tr w:rsidR="00B42640" w:rsidRPr="00A415D8" w14:paraId="645B0C8B" w14:textId="77777777" w:rsidTr="00A37E1F">
        <w:trPr>
          <w:cnfStyle w:val="010000000000" w:firstRow="0" w:lastRow="1"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392" w:type="dxa"/>
            <w:shd w:val="clear" w:color="auto" w:fill="E2EFD9" w:themeFill="accent6" w:themeFillTint="33"/>
            <w:vAlign w:val="center"/>
          </w:tcPr>
          <w:p w14:paraId="6AE323B8" w14:textId="77777777" w:rsidR="00B42640" w:rsidRPr="00A415D8" w:rsidRDefault="00B42640" w:rsidP="00CB3077">
            <w:pPr>
              <w:keepNext/>
              <w:keepLines/>
              <w:spacing w:line="276" w:lineRule="auto"/>
              <w:jc w:val="both"/>
              <w:rPr>
                <w:sz w:val="20"/>
              </w:rPr>
            </w:pPr>
            <w:r w:rsidRPr="00A415D8">
              <w:rPr>
                <w:sz w:val="20"/>
              </w:rPr>
              <w:t>Zúčtovanie realizácie rozpočtových príjmov ku dňu, ku ktorému sa zostavuje účtovná závierka</w:t>
            </w:r>
          </w:p>
        </w:tc>
        <w:tc>
          <w:tcPr>
            <w:cnfStyle w:val="000010000000" w:firstRow="0" w:lastRow="0" w:firstColumn="0" w:lastColumn="0" w:oddVBand="1" w:evenVBand="0" w:oddHBand="0" w:evenHBand="0" w:firstRowFirstColumn="0" w:firstRowLastColumn="0" w:lastRowFirstColumn="0" w:lastRowLastColumn="0"/>
            <w:tcW w:w="2229" w:type="dxa"/>
            <w:vAlign w:val="center"/>
          </w:tcPr>
          <w:p w14:paraId="26DE482D" w14:textId="77777777" w:rsidR="00B42640" w:rsidRPr="00A415D8" w:rsidRDefault="00B42640" w:rsidP="00CB3077">
            <w:pPr>
              <w:keepNext/>
              <w:keepLines/>
              <w:spacing w:line="276" w:lineRule="auto"/>
              <w:jc w:val="both"/>
              <w:rPr>
                <w:sz w:val="20"/>
              </w:rPr>
            </w:pPr>
            <w:r w:rsidRPr="00A415D8">
              <w:rPr>
                <w:sz w:val="20"/>
              </w:rPr>
              <w:t>ŠRO</w:t>
            </w:r>
          </w:p>
        </w:tc>
        <w:tc>
          <w:tcPr>
            <w:tcW w:w="992" w:type="dxa"/>
            <w:vAlign w:val="center"/>
          </w:tcPr>
          <w:p w14:paraId="3883A36A" w14:textId="77777777" w:rsidR="00B42640" w:rsidRPr="00A415D8" w:rsidRDefault="00B42640" w:rsidP="00CB3077">
            <w:pPr>
              <w:keepNext/>
              <w:keepLines/>
              <w:spacing w:line="276" w:lineRule="auto"/>
              <w:jc w:val="both"/>
              <w:cnfStyle w:val="010000000000" w:firstRow="0" w:lastRow="1" w:firstColumn="0" w:lastColumn="0" w:oddVBand="0" w:evenVBand="0" w:oddHBand="0" w:evenHBand="0" w:firstRowFirstColumn="0" w:firstRowLastColumn="0" w:lastRowFirstColumn="0" w:lastRowLastColumn="0"/>
              <w:rPr>
                <w:sz w:val="20"/>
              </w:rPr>
            </w:pPr>
            <w:r w:rsidRPr="00A415D8">
              <w:rPr>
                <w:sz w:val="20"/>
              </w:rPr>
              <w:t>351</w:t>
            </w:r>
          </w:p>
        </w:tc>
        <w:tc>
          <w:tcPr>
            <w:cnfStyle w:val="000100000000" w:firstRow="0" w:lastRow="0" w:firstColumn="0" w:lastColumn="1" w:oddVBand="0" w:evenVBand="0" w:oddHBand="0" w:evenHBand="0" w:firstRowFirstColumn="0" w:firstRowLastColumn="0" w:lastRowFirstColumn="0" w:lastRowLastColumn="0"/>
            <w:tcW w:w="993" w:type="dxa"/>
            <w:vAlign w:val="center"/>
          </w:tcPr>
          <w:p w14:paraId="2D20F4C6" w14:textId="77777777" w:rsidR="00B42640" w:rsidRPr="00A415D8" w:rsidRDefault="00B42640" w:rsidP="00CB3077">
            <w:pPr>
              <w:keepNext/>
              <w:keepLines/>
              <w:spacing w:line="276" w:lineRule="auto"/>
              <w:jc w:val="both"/>
              <w:rPr>
                <w:sz w:val="20"/>
              </w:rPr>
            </w:pPr>
            <w:r w:rsidRPr="00A415D8">
              <w:rPr>
                <w:sz w:val="20"/>
              </w:rPr>
              <w:t>224</w:t>
            </w:r>
          </w:p>
        </w:tc>
      </w:tr>
    </w:tbl>
    <w:p w14:paraId="13FD2EAE" w14:textId="77777777" w:rsidR="00B42640" w:rsidRPr="00A415D8" w:rsidRDefault="00B42640" w:rsidP="00CB3077">
      <w:pPr>
        <w:keepNext/>
        <w:keepLines/>
        <w:spacing w:line="276" w:lineRule="auto"/>
        <w:jc w:val="both"/>
        <w:rPr>
          <w:rFonts w:ascii="Calibri" w:hAnsi="Calibri" w:cs="Calibri"/>
          <w:sz w:val="20"/>
        </w:rPr>
      </w:pPr>
    </w:p>
    <w:p w14:paraId="72F47830" w14:textId="77777777" w:rsidR="00B42640" w:rsidRPr="00A415D8" w:rsidRDefault="00B42640" w:rsidP="00CB3077">
      <w:pPr>
        <w:keepNext/>
        <w:keepLines/>
        <w:spacing w:line="276" w:lineRule="auto"/>
        <w:jc w:val="both"/>
        <w:rPr>
          <w:rFonts w:ascii="Calibri" w:hAnsi="Calibri" w:cs="Calibri"/>
          <w:b/>
          <w:sz w:val="20"/>
          <w:u w:val="single"/>
        </w:rPr>
      </w:pPr>
      <w:bookmarkStart w:id="22" w:name="_Toc435793192"/>
      <w:bookmarkStart w:id="23" w:name="_Toc469685713"/>
      <w:r w:rsidRPr="00A415D8">
        <w:rPr>
          <w:rFonts w:ascii="Calibri" w:hAnsi="Calibri" w:cs="Calibri"/>
          <w:b/>
          <w:sz w:val="20"/>
          <w:u w:val="single"/>
        </w:rPr>
        <w:t>Postup účtovania rozpočtových výdavkov</w:t>
      </w:r>
      <w:bookmarkEnd w:id="22"/>
      <w:bookmarkEnd w:id="23"/>
    </w:p>
    <w:p w14:paraId="27B3C55F" w14:textId="77777777"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Podľa zákona č. 523/2004 Z. z. o rozpočtových pravidlách verejnej správy štátne rozpočtové organizácie realizujú všetky výdavky prostredníctvom účtov vedených v Štátnej pokladnici.</w:t>
      </w:r>
    </w:p>
    <w:p w14:paraId="55901E9D" w14:textId="77777777"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Realizácia rozpočtových výdavkov sa účtuje v štátnych rozpočtových organizáciách podľa § 40 uvedeného opatrenia na účte 225 – Účet štátnych rozpočtových výdavkov.</w:t>
      </w:r>
    </w:p>
    <w:p w14:paraId="538595F6" w14:textId="77777777" w:rsidR="00B42640" w:rsidRPr="00A415D8" w:rsidRDefault="00B42640" w:rsidP="00CB3077">
      <w:pPr>
        <w:keepNext/>
        <w:keepLines/>
        <w:spacing w:line="276" w:lineRule="auto"/>
        <w:jc w:val="both"/>
        <w:rPr>
          <w:rFonts w:ascii="Calibri" w:hAnsi="Calibri" w:cs="Calibri"/>
          <w:sz w:val="20"/>
        </w:rPr>
      </w:pPr>
      <w:r w:rsidRPr="00A415D8">
        <w:rPr>
          <w:rFonts w:ascii="Calibri" w:hAnsi="Calibri" w:cs="Calibri"/>
          <w:sz w:val="20"/>
        </w:rPr>
        <w:t>Z vecnej podstaty účtu 225 – Účet štátnych rozpočtových výdavkov vyplýva, že nevykazuje konečný zostatok, a teda sa nenachádza ani v súvahe.</w:t>
      </w:r>
    </w:p>
    <w:p w14:paraId="3B98B645" w14:textId="19452C74" w:rsidR="00B42640" w:rsidRPr="00A415D8" w:rsidRDefault="00B42640" w:rsidP="00CB3077">
      <w:pPr>
        <w:keepNext/>
        <w:keepLines/>
        <w:spacing w:line="276" w:lineRule="auto"/>
        <w:jc w:val="both"/>
        <w:rPr>
          <w:rFonts w:ascii="Calibri" w:hAnsi="Calibri" w:cs="Calibri"/>
          <w:b/>
          <w:bCs/>
          <w:sz w:val="20"/>
          <w:lang w:val="en-US"/>
        </w:rPr>
      </w:pPr>
      <w:proofErr w:type="spellStart"/>
      <w:r w:rsidRPr="00A415D8">
        <w:rPr>
          <w:rFonts w:ascii="Calibri" w:hAnsi="Calibri" w:cs="Calibri"/>
          <w:b/>
          <w:bCs/>
          <w:sz w:val="20"/>
          <w:lang w:val="en-US"/>
        </w:rPr>
        <w:t>Postup</w:t>
      </w:r>
      <w:proofErr w:type="spellEnd"/>
      <w:r w:rsidRPr="00A415D8">
        <w:rPr>
          <w:rFonts w:ascii="Calibri" w:hAnsi="Calibri" w:cs="Calibri"/>
          <w:b/>
          <w:bCs/>
          <w:sz w:val="20"/>
          <w:lang w:val="en-US"/>
        </w:rPr>
        <w:t xml:space="preserve"> </w:t>
      </w:r>
      <w:proofErr w:type="spellStart"/>
      <w:r w:rsidRPr="00A415D8">
        <w:rPr>
          <w:rFonts w:ascii="Calibri" w:hAnsi="Calibri" w:cs="Calibri"/>
          <w:b/>
          <w:bCs/>
          <w:sz w:val="20"/>
          <w:lang w:val="en-US"/>
        </w:rPr>
        <w:t>účtovania</w:t>
      </w:r>
      <w:proofErr w:type="spellEnd"/>
      <w:r w:rsidRPr="00A415D8">
        <w:rPr>
          <w:rFonts w:ascii="Calibri" w:hAnsi="Calibri" w:cs="Calibri"/>
          <w:b/>
          <w:bCs/>
          <w:sz w:val="20"/>
          <w:lang w:val="en-US"/>
        </w:rPr>
        <w:t xml:space="preserve"> </w:t>
      </w:r>
      <w:proofErr w:type="spellStart"/>
      <w:r w:rsidRPr="00A415D8">
        <w:rPr>
          <w:rFonts w:ascii="Calibri" w:hAnsi="Calibri" w:cs="Calibri"/>
          <w:b/>
          <w:bCs/>
          <w:sz w:val="20"/>
          <w:lang w:val="en-US"/>
        </w:rPr>
        <w:t>výdavkov</w:t>
      </w:r>
      <w:proofErr w:type="spellEnd"/>
      <w:r w:rsidRPr="00A415D8">
        <w:rPr>
          <w:rFonts w:ascii="Calibri" w:hAnsi="Calibri" w:cs="Calibri"/>
          <w:b/>
          <w:bCs/>
          <w:sz w:val="20"/>
          <w:lang w:val="en-US"/>
        </w:rPr>
        <w:t xml:space="preserve"> </w:t>
      </w:r>
      <w:proofErr w:type="spellStart"/>
      <w:r w:rsidRPr="00A415D8">
        <w:rPr>
          <w:rFonts w:ascii="Calibri" w:hAnsi="Calibri" w:cs="Calibri"/>
          <w:b/>
          <w:bCs/>
          <w:sz w:val="20"/>
          <w:lang w:val="en-US"/>
        </w:rPr>
        <w:t>projektu</w:t>
      </w:r>
      <w:proofErr w:type="spellEnd"/>
    </w:p>
    <w:tbl>
      <w:tblPr>
        <w:tblStyle w:val="Svetlzoznamzvraznenie31"/>
        <w:tblpPr w:leftFromText="180" w:rightFromText="180" w:vertAnchor="text" w:horzAnchor="margin" w:tblpXSpec="center" w:tblpY="224"/>
        <w:tblW w:w="9497" w:type="dxa"/>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Layout w:type="fixed"/>
        <w:tblLook w:val="01E0" w:firstRow="1" w:lastRow="1" w:firstColumn="1" w:lastColumn="1" w:noHBand="0" w:noVBand="0"/>
      </w:tblPr>
      <w:tblGrid>
        <w:gridCol w:w="5302"/>
        <w:gridCol w:w="2210"/>
        <w:gridCol w:w="993"/>
        <w:gridCol w:w="992"/>
      </w:tblGrid>
      <w:tr w:rsidR="00B42640" w:rsidRPr="00A415D8" w14:paraId="04ED3B23" w14:textId="77777777" w:rsidTr="00A37E1F">
        <w:trPr>
          <w:cnfStyle w:val="100000000000" w:firstRow="1" w:lastRow="0" w:firstColumn="0" w:lastColumn="0" w:oddVBand="0" w:evenVBand="0" w:oddHBand="0" w:evenHBand="0" w:firstRowFirstColumn="0" w:firstRowLastColumn="0" w:lastRowFirstColumn="0" w:lastRowLastColumn="0"/>
          <w:trHeight w:val="397"/>
          <w:tblHeader/>
        </w:trPr>
        <w:tc>
          <w:tcPr>
            <w:cnfStyle w:val="001000000000" w:firstRow="0" w:lastRow="0" w:firstColumn="1" w:lastColumn="0" w:oddVBand="0" w:evenVBand="0" w:oddHBand="0" w:evenHBand="0" w:firstRowFirstColumn="0" w:firstRowLastColumn="0" w:lastRowFirstColumn="0" w:lastRowLastColumn="0"/>
            <w:tcW w:w="5302" w:type="dxa"/>
            <w:shd w:val="clear" w:color="auto" w:fill="A8D08D" w:themeFill="accent6" w:themeFillTint="99"/>
            <w:vAlign w:val="center"/>
          </w:tcPr>
          <w:p w14:paraId="6C95538C" w14:textId="77777777" w:rsidR="00B42640" w:rsidRPr="00A415D8" w:rsidRDefault="00B42640" w:rsidP="00CB3077">
            <w:pPr>
              <w:keepNext/>
              <w:keepLines/>
              <w:spacing w:line="276" w:lineRule="auto"/>
              <w:jc w:val="both"/>
              <w:rPr>
                <w:sz w:val="20"/>
              </w:rPr>
            </w:pPr>
            <w:r w:rsidRPr="00A415D8">
              <w:rPr>
                <w:sz w:val="20"/>
              </w:rPr>
              <w:t>Popis účtovného prípadu</w:t>
            </w:r>
          </w:p>
        </w:tc>
        <w:tc>
          <w:tcPr>
            <w:cnfStyle w:val="000010000000" w:firstRow="0" w:lastRow="0" w:firstColumn="0" w:lastColumn="0" w:oddVBand="1" w:evenVBand="0" w:oddHBand="0" w:evenHBand="0" w:firstRowFirstColumn="0" w:firstRowLastColumn="0" w:lastRowFirstColumn="0" w:lastRowLastColumn="0"/>
            <w:tcW w:w="2210" w:type="dxa"/>
            <w:shd w:val="clear" w:color="auto" w:fill="A8D08D" w:themeFill="accent6" w:themeFillTint="99"/>
            <w:vAlign w:val="center"/>
          </w:tcPr>
          <w:p w14:paraId="37B323F0" w14:textId="77777777" w:rsidR="00B42640" w:rsidRPr="00A415D8" w:rsidRDefault="00B42640" w:rsidP="00CB3077">
            <w:pPr>
              <w:keepNext/>
              <w:keepLines/>
              <w:spacing w:line="276" w:lineRule="auto"/>
              <w:jc w:val="both"/>
              <w:rPr>
                <w:sz w:val="20"/>
              </w:rPr>
            </w:pPr>
            <w:r w:rsidRPr="00A415D8">
              <w:rPr>
                <w:sz w:val="20"/>
              </w:rPr>
              <w:t>Právna forma</w:t>
            </w:r>
          </w:p>
        </w:tc>
        <w:tc>
          <w:tcPr>
            <w:tcW w:w="993" w:type="dxa"/>
            <w:shd w:val="clear" w:color="auto" w:fill="A8D08D" w:themeFill="accent6" w:themeFillTint="99"/>
            <w:vAlign w:val="center"/>
          </w:tcPr>
          <w:p w14:paraId="6E766E40" w14:textId="77777777" w:rsidR="00B42640" w:rsidRPr="00A415D8" w:rsidRDefault="00B42640" w:rsidP="00CB3077">
            <w:pPr>
              <w:keepNext/>
              <w:keepLines/>
              <w:spacing w:line="276" w:lineRule="auto"/>
              <w:jc w:val="both"/>
              <w:cnfStyle w:val="100000000000" w:firstRow="1" w:lastRow="0" w:firstColumn="0" w:lastColumn="0" w:oddVBand="0" w:evenVBand="0" w:oddHBand="0" w:evenHBand="0" w:firstRowFirstColumn="0" w:firstRowLastColumn="0" w:lastRowFirstColumn="0" w:lastRowLastColumn="0"/>
              <w:rPr>
                <w:sz w:val="20"/>
              </w:rPr>
            </w:pPr>
            <w:r w:rsidRPr="00A415D8">
              <w:rPr>
                <w:sz w:val="20"/>
              </w:rPr>
              <w:t>MD</w:t>
            </w:r>
          </w:p>
        </w:tc>
        <w:tc>
          <w:tcPr>
            <w:cnfStyle w:val="000100000000" w:firstRow="0" w:lastRow="0" w:firstColumn="0" w:lastColumn="1" w:oddVBand="0" w:evenVBand="0" w:oddHBand="0" w:evenHBand="0" w:firstRowFirstColumn="0" w:firstRowLastColumn="0" w:lastRowFirstColumn="0" w:lastRowLastColumn="0"/>
            <w:tcW w:w="992" w:type="dxa"/>
            <w:shd w:val="clear" w:color="auto" w:fill="A8D08D" w:themeFill="accent6" w:themeFillTint="99"/>
            <w:vAlign w:val="center"/>
          </w:tcPr>
          <w:p w14:paraId="507072B4" w14:textId="77777777" w:rsidR="00B42640" w:rsidRPr="00A415D8" w:rsidRDefault="00B42640" w:rsidP="00CB3077">
            <w:pPr>
              <w:keepNext/>
              <w:keepLines/>
              <w:spacing w:line="276" w:lineRule="auto"/>
              <w:jc w:val="both"/>
              <w:rPr>
                <w:sz w:val="20"/>
              </w:rPr>
            </w:pPr>
            <w:r w:rsidRPr="00A415D8">
              <w:rPr>
                <w:sz w:val="20"/>
              </w:rPr>
              <w:t>D</w:t>
            </w:r>
          </w:p>
        </w:tc>
      </w:tr>
      <w:tr w:rsidR="00B42640" w:rsidRPr="00A415D8" w14:paraId="53DFA73F" w14:textId="77777777" w:rsidTr="00A37E1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1C0255BB" w14:textId="77777777" w:rsidR="00B42640" w:rsidRPr="00A415D8" w:rsidRDefault="00B42640" w:rsidP="00CB3077">
            <w:pPr>
              <w:keepNext/>
              <w:keepLines/>
              <w:spacing w:line="276" w:lineRule="auto"/>
              <w:jc w:val="both"/>
              <w:rPr>
                <w:sz w:val="20"/>
              </w:rPr>
            </w:pPr>
            <w:r w:rsidRPr="00A415D8">
              <w:rPr>
                <w:sz w:val="20"/>
              </w:rPr>
              <w:t>Výber hotovosti z účtu štátnych rozpočtových výdavkov / z bankového účtu do pokladnice - účtovanie na základe príjmového pokladničného dokladu</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209F9A43" w14:textId="77777777" w:rsidR="00B42640" w:rsidRPr="00A415D8" w:rsidRDefault="00B42640" w:rsidP="00CB3077">
            <w:pPr>
              <w:keepNext/>
              <w:keepLines/>
              <w:spacing w:line="276" w:lineRule="auto"/>
              <w:jc w:val="both"/>
              <w:rPr>
                <w:sz w:val="20"/>
              </w:rPr>
            </w:pPr>
            <w:r w:rsidRPr="00A415D8">
              <w:rPr>
                <w:sz w:val="20"/>
              </w:rPr>
              <w:t>všetky právne formy</w:t>
            </w:r>
          </w:p>
        </w:tc>
        <w:tc>
          <w:tcPr>
            <w:tcW w:w="993" w:type="dxa"/>
            <w:vAlign w:val="center"/>
          </w:tcPr>
          <w:p w14:paraId="25EDC014" w14:textId="77777777" w:rsidR="00B42640" w:rsidRPr="00A415D8" w:rsidRDefault="00B42640" w:rsidP="00CB3077">
            <w:pPr>
              <w:keepNext/>
              <w:keepLines/>
              <w:spacing w:line="276" w:lineRule="auto"/>
              <w:jc w:val="both"/>
              <w:cnfStyle w:val="000000100000" w:firstRow="0" w:lastRow="0" w:firstColumn="0" w:lastColumn="0" w:oddVBand="0" w:evenVBand="0" w:oddHBand="1" w:evenHBand="0" w:firstRowFirstColumn="0" w:firstRowLastColumn="0" w:lastRowFirstColumn="0" w:lastRowLastColumn="0"/>
              <w:rPr>
                <w:sz w:val="20"/>
              </w:rPr>
            </w:pPr>
            <w:r w:rsidRPr="00A415D8">
              <w:rPr>
                <w:sz w:val="20"/>
              </w:rPr>
              <w:t>211</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2CEE7A89" w14:textId="77777777" w:rsidR="00B42640" w:rsidRPr="00A415D8" w:rsidRDefault="00B42640" w:rsidP="00CB3077">
            <w:pPr>
              <w:keepNext/>
              <w:keepLines/>
              <w:spacing w:line="276" w:lineRule="auto"/>
              <w:jc w:val="both"/>
              <w:rPr>
                <w:sz w:val="20"/>
              </w:rPr>
            </w:pPr>
            <w:r w:rsidRPr="00A415D8">
              <w:rPr>
                <w:sz w:val="20"/>
              </w:rPr>
              <w:t>261</w:t>
            </w:r>
          </w:p>
        </w:tc>
      </w:tr>
      <w:tr w:rsidR="00B42640" w:rsidRPr="00A415D8" w14:paraId="517AAD03" w14:textId="77777777" w:rsidTr="00A37E1F">
        <w:trPr>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461FEEAF" w14:textId="77777777" w:rsidR="00B42640" w:rsidRPr="00A415D8" w:rsidRDefault="00B42640" w:rsidP="00CB3077">
            <w:pPr>
              <w:keepNext/>
              <w:keepLines/>
              <w:spacing w:line="276" w:lineRule="auto"/>
              <w:jc w:val="both"/>
              <w:rPr>
                <w:sz w:val="20"/>
              </w:rPr>
            </w:pPr>
            <w:r w:rsidRPr="00A415D8">
              <w:rPr>
                <w:sz w:val="20"/>
              </w:rPr>
              <w:t>Výber hotovosti z účtu štátnych rozpočtových výdavkov / z bankových účtov do pokladnice - účtovanie na základe výpisu z účtu štátnych rozpočtových výdavkov</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52147E66" w14:textId="77777777" w:rsidR="00B42640" w:rsidRPr="00A415D8" w:rsidRDefault="00B42640" w:rsidP="00CB3077">
            <w:pPr>
              <w:keepNext/>
              <w:keepLines/>
              <w:spacing w:line="276" w:lineRule="auto"/>
              <w:jc w:val="both"/>
              <w:rPr>
                <w:sz w:val="20"/>
              </w:rPr>
            </w:pPr>
            <w:r w:rsidRPr="00A415D8">
              <w:rPr>
                <w:sz w:val="20"/>
              </w:rPr>
              <w:t>ŠRO</w:t>
            </w:r>
          </w:p>
        </w:tc>
        <w:tc>
          <w:tcPr>
            <w:tcW w:w="993" w:type="dxa"/>
            <w:vAlign w:val="center"/>
          </w:tcPr>
          <w:p w14:paraId="7741EC30"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r w:rsidRPr="00A415D8">
              <w:rPr>
                <w:sz w:val="20"/>
              </w:rPr>
              <w:t>261</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370EE52C" w14:textId="77777777" w:rsidR="00B42640" w:rsidRPr="00A415D8" w:rsidRDefault="00B42640" w:rsidP="00CB3077">
            <w:pPr>
              <w:keepNext/>
              <w:keepLines/>
              <w:spacing w:line="276" w:lineRule="auto"/>
              <w:jc w:val="both"/>
              <w:rPr>
                <w:sz w:val="20"/>
              </w:rPr>
            </w:pPr>
            <w:r w:rsidRPr="00A415D8">
              <w:rPr>
                <w:sz w:val="20"/>
              </w:rPr>
              <w:t>225</w:t>
            </w:r>
          </w:p>
        </w:tc>
      </w:tr>
      <w:tr w:rsidR="00B42640" w:rsidRPr="00A415D8" w14:paraId="103531A0" w14:textId="77777777" w:rsidTr="00A37E1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6A4C38BC" w14:textId="77777777" w:rsidR="00B42640" w:rsidRPr="00A415D8" w:rsidRDefault="00B42640" w:rsidP="00CB3077">
            <w:pPr>
              <w:keepNext/>
              <w:keepLines/>
              <w:spacing w:line="276" w:lineRule="auto"/>
              <w:jc w:val="both"/>
              <w:rPr>
                <w:sz w:val="20"/>
              </w:rPr>
            </w:pPr>
            <w:r w:rsidRPr="00A415D8">
              <w:rPr>
                <w:sz w:val="20"/>
              </w:rPr>
              <w:t>Zúčtovanie bežného transferu od zriaďovateľa vo vecnej a časovej súvislosti s výdavkami</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09296CAD" w14:textId="77777777" w:rsidR="00B42640" w:rsidRPr="00A415D8" w:rsidRDefault="00B42640" w:rsidP="00CB3077">
            <w:pPr>
              <w:keepNext/>
              <w:keepLines/>
              <w:spacing w:line="276" w:lineRule="auto"/>
              <w:jc w:val="both"/>
              <w:rPr>
                <w:sz w:val="20"/>
              </w:rPr>
            </w:pPr>
            <w:r w:rsidRPr="00A415D8">
              <w:rPr>
                <w:sz w:val="20"/>
              </w:rPr>
              <w:t>ŠRO</w:t>
            </w:r>
          </w:p>
        </w:tc>
        <w:tc>
          <w:tcPr>
            <w:tcW w:w="993" w:type="dxa"/>
            <w:vAlign w:val="center"/>
          </w:tcPr>
          <w:p w14:paraId="153ADD4D" w14:textId="77777777" w:rsidR="00B42640" w:rsidRPr="00A415D8" w:rsidRDefault="00B42640" w:rsidP="00CB3077">
            <w:pPr>
              <w:keepNext/>
              <w:keepLines/>
              <w:spacing w:line="276" w:lineRule="auto"/>
              <w:jc w:val="both"/>
              <w:cnfStyle w:val="000000100000" w:firstRow="0" w:lastRow="0" w:firstColumn="0" w:lastColumn="0" w:oddVBand="0" w:evenVBand="0" w:oddHBand="1" w:evenHBand="0" w:firstRowFirstColumn="0" w:firstRowLastColumn="0" w:lastRowFirstColumn="0" w:lastRowLastColumn="0"/>
              <w:rPr>
                <w:sz w:val="20"/>
              </w:rPr>
            </w:pPr>
            <w:r w:rsidRPr="00A415D8">
              <w:rPr>
                <w:sz w:val="20"/>
              </w:rPr>
              <w:t>352</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0E488C25" w14:textId="77777777" w:rsidR="00B42640" w:rsidRPr="00A415D8" w:rsidRDefault="00B42640" w:rsidP="00CB3077">
            <w:pPr>
              <w:keepNext/>
              <w:keepLines/>
              <w:spacing w:line="276" w:lineRule="auto"/>
              <w:jc w:val="both"/>
              <w:rPr>
                <w:sz w:val="20"/>
              </w:rPr>
            </w:pPr>
            <w:r w:rsidRPr="00A415D8">
              <w:rPr>
                <w:sz w:val="20"/>
              </w:rPr>
              <w:t>681</w:t>
            </w:r>
          </w:p>
        </w:tc>
      </w:tr>
      <w:tr w:rsidR="00B42640" w:rsidRPr="00A415D8" w14:paraId="06108517" w14:textId="77777777" w:rsidTr="00A37E1F">
        <w:trPr>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63BD73DB" w14:textId="77777777" w:rsidR="00B42640" w:rsidRPr="00A415D8" w:rsidRDefault="00B42640" w:rsidP="00CB3077">
            <w:pPr>
              <w:keepNext/>
              <w:keepLines/>
              <w:spacing w:line="276" w:lineRule="auto"/>
              <w:jc w:val="both"/>
              <w:rPr>
                <w:sz w:val="20"/>
              </w:rPr>
            </w:pPr>
            <w:r w:rsidRPr="00A415D8">
              <w:rPr>
                <w:sz w:val="20"/>
              </w:rPr>
              <w:t>Účtovanie nákladov peňažného styku</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76128341" w14:textId="77777777" w:rsidR="00B42640" w:rsidRPr="00A415D8" w:rsidRDefault="00B42640" w:rsidP="00CB3077">
            <w:pPr>
              <w:keepNext/>
              <w:keepLines/>
              <w:spacing w:line="276" w:lineRule="auto"/>
              <w:jc w:val="both"/>
              <w:rPr>
                <w:sz w:val="20"/>
              </w:rPr>
            </w:pPr>
            <w:r w:rsidRPr="00A415D8">
              <w:rPr>
                <w:sz w:val="20"/>
              </w:rPr>
              <w:t>ŠRO</w:t>
            </w:r>
          </w:p>
        </w:tc>
        <w:tc>
          <w:tcPr>
            <w:tcW w:w="993" w:type="dxa"/>
            <w:vAlign w:val="center"/>
          </w:tcPr>
          <w:p w14:paraId="3F4247A1"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r w:rsidRPr="00A415D8">
              <w:rPr>
                <w:sz w:val="20"/>
              </w:rPr>
              <w:t>568</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6CC2BE6E" w14:textId="77777777" w:rsidR="00B42640" w:rsidRPr="00A415D8" w:rsidRDefault="00B42640" w:rsidP="00CB3077">
            <w:pPr>
              <w:keepNext/>
              <w:keepLines/>
              <w:spacing w:line="276" w:lineRule="auto"/>
              <w:jc w:val="both"/>
              <w:rPr>
                <w:sz w:val="20"/>
              </w:rPr>
            </w:pPr>
            <w:r w:rsidRPr="00A415D8">
              <w:rPr>
                <w:sz w:val="20"/>
              </w:rPr>
              <w:t>225</w:t>
            </w:r>
          </w:p>
        </w:tc>
      </w:tr>
      <w:tr w:rsidR="00B42640" w:rsidRPr="00A415D8" w14:paraId="519D2DFA" w14:textId="77777777" w:rsidTr="00A37E1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42CE7209" w14:textId="77777777" w:rsidR="00B42640" w:rsidRPr="00A415D8" w:rsidRDefault="00B42640" w:rsidP="00CB3077">
            <w:pPr>
              <w:keepNext/>
              <w:keepLines/>
              <w:spacing w:line="276" w:lineRule="auto"/>
              <w:jc w:val="both"/>
              <w:rPr>
                <w:sz w:val="20"/>
              </w:rPr>
            </w:pPr>
            <w:r w:rsidRPr="00A415D8">
              <w:rPr>
                <w:sz w:val="20"/>
              </w:rPr>
              <w:t>Vznik záväzku z titulu obstarania  služby (faktúra za služby)</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04F9A355" w14:textId="77777777" w:rsidR="00B42640" w:rsidRPr="00A415D8" w:rsidRDefault="00B42640" w:rsidP="00CB3077">
            <w:pPr>
              <w:keepNext/>
              <w:keepLines/>
              <w:spacing w:line="276" w:lineRule="auto"/>
              <w:jc w:val="both"/>
              <w:rPr>
                <w:sz w:val="20"/>
              </w:rPr>
            </w:pPr>
            <w:r w:rsidRPr="00A415D8">
              <w:rPr>
                <w:sz w:val="20"/>
              </w:rPr>
              <w:t>všetky právne formy</w:t>
            </w:r>
          </w:p>
        </w:tc>
        <w:tc>
          <w:tcPr>
            <w:tcW w:w="993" w:type="dxa"/>
            <w:vAlign w:val="center"/>
          </w:tcPr>
          <w:p w14:paraId="77FBA21B" w14:textId="77777777" w:rsidR="00B42640" w:rsidRPr="00A415D8" w:rsidRDefault="00B42640" w:rsidP="00CB3077">
            <w:pPr>
              <w:keepNext/>
              <w:keepLines/>
              <w:spacing w:line="276" w:lineRule="auto"/>
              <w:jc w:val="both"/>
              <w:cnfStyle w:val="000000100000" w:firstRow="0" w:lastRow="0" w:firstColumn="0" w:lastColumn="0" w:oddVBand="0" w:evenVBand="0" w:oddHBand="1" w:evenHBand="0" w:firstRowFirstColumn="0" w:firstRowLastColumn="0" w:lastRowFirstColumn="0" w:lastRowLastColumn="0"/>
              <w:rPr>
                <w:sz w:val="20"/>
              </w:rPr>
            </w:pPr>
            <w:r w:rsidRPr="00A415D8">
              <w:rPr>
                <w:sz w:val="20"/>
              </w:rPr>
              <w:t>518</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0B86E8C9" w14:textId="77777777" w:rsidR="00B42640" w:rsidRPr="00A415D8" w:rsidRDefault="00B42640" w:rsidP="00CB3077">
            <w:pPr>
              <w:keepNext/>
              <w:keepLines/>
              <w:spacing w:line="276" w:lineRule="auto"/>
              <w:jc w:val="both"/>
              <w:rPr>
                <w:sz w:val="20"/>
              </w:rPr>
            </w:pPr>
            <w:r w:rsidRPr="00A415D8">
              <w:rPr>
                <w:sz w:val="20"/>
              </w:rPr>
              <w:t>321</w:t>
            </w:r>
          </w:p>
        </w:tc>
      </w:tr>
      <w:tr w:rsidR="00B42640" w:rsidRPr="00A415D8" w14:paraId="1470B442" w14:textId="77777777" w:rsidTr="00A37E1F">
        <w:trPr>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15F9AA30" w14:textId="77777777" w:rsidR="00B42640" w:rsidRPr="00A415D8" w:rsidRDefault="00B42640" w:rsidP="00CB3077">
            <w:pPr>
              <w:keepNext/>
              <w:keepLines/>
              <w:spacing w:line="276" w:lineRule="auto"/>
              <w:jc w:val="both"/>
              <w:rPr>
                <w:sz w:val="20"/>
              </w:rPr>
            </w:pPr>
            <w:r w:rsidRPr="00A415D8">
              <w:rPr>
                <w:sz w:val="20"/>
              </w:rPr>
              <w:t>Úhrada faktúry za služby</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2602A92A" w14:textId="77777777" w:rsidR="00B42640" w:rsidRPr="00A415D8" w:rsidRDefault="00B42640" w:rsidP="00CB3077">
            <w:pPr>
              <w:keepNext/>
              <w:keepLines/>
              <w:spacing w:line="276" w:lineRule="auto"/>
              <w:jc w:val="both"/>
              <w:rPr>
                <w:sz w:val="20"/>
              </w:rPr>
            </w:pPr>
            <w:r w:rsidRPr="00A415D8">
              <w:rPr>
                <w:sz w:val="20"/>
              </w:rPr>
              <w:t>ŠRO</w:t>
            </w:r>
          </w:p>
        </w:tc>
        <w:tc>
          <w:tcPr>
            <w:tcW w:w="993" w:type="dxa"/>
            <w:vAlign w:val="center"/>
          </w:tcPr>
          <w:p w14:paraId="4F206CCD"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r w:rsidRPr="00A415D8">
              <w:rPr>
                <w:sz w:val="20"/>
              </w:rPr>
              <w:t>321</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29FAC552" w14:textId="77777777" w:rsidR="00B42640" w:rsidRPr="00A415D8" w:rsidRDefault="00B42640" w:rsidP="00CB3077">
            <w:pPr>
              <w:keepNext/>
              <w:keepLines/>
              <w:spacing w:line="276" w:lineRule="auto"/>
              <w:jc w:val="both"/>
              <w:rPr>
                <w:sz w:val="20"/>
              </w:rPr>
            </w:pPr>
            <w:r w:rsidRPr="00A415D8">
              <w:rPr>
                <w:sz w:val="20"/>
              </w:rPr>
              <w:t>225</w:t>
            </w:r>
          </w:p>
        </w:tc>
      </w:tr>
      <w:tr w:rsidR="00B42640" w:rsidRPr="00A415D8" w14:paraId="4AC81B86" w14:textId="77777777" w:rsidTr="00A37E1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42BFF6CF" w14:textId="77777777" w:rsidR="00B42640" w:rsidRPr="00A415D8" w:rsidRDefault="00B42640" w:rsidP="00CB3077">
            <w:pPr>
              <w:keepNext/>
              <w:keepLines/>
              <w:spacing w:line="276" w:lineRule="auto"/>
              <w:jc w:val="both"/>
              <w:rPr>
                <w:sz w:val="20"/>
              </w:rPr>
            </w:pPr>
            <w:r w:rsidRPr="00A415D8">
              <w:rPr>
                <w:sz w:val="20"/>
              </w:rPr>
              <w:lastRenderedPageBreak/>
              <w:t>Obstaranie dlhodobého hmotného majetku -  stroja</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596C2AD4" w14:textId="77777777" w:rsidR="00B42640" w:rsidRPr="00A415D8" w:rsidRDefault="00B42640" w:rsidP="00CB3077">
            <w:pPr>
              <w:keepNext/>
              <w:keepLines/>
              <w:spacing w:line="276" w:lineRule="auto"/>
              <w:jc w:val="both"/>
              <w:rPr>
                <w:sz w:val="20"/>
              </w:rPr>
            </w:pPr>
            <w:r w:rsidRPr="00A415D8">
              <w:rPr>
                <w:sz w:val="20"/>
              </w:rPr>
              <w:t>všetky právne formy</w:t>
            </w:r>
          </w:p>
        </w:tc>
        <w:tc>
          <w:tcPr>
            <w:tcW w:w="993" w:type="dxa"/>
            <w:vAlign w:val="center"/>
          </w:tcPr>
          <w:p w14:paraId="25B3F9BC" w14:textId="77777777" w:rsidR="00B42640" w:rsidRPr="00A415D8" w:rsidRDefault="00B42640" w:rsidP="00CB3077">
            <w:pPr>
              <w:keepNext/>
              <w:keepLines/>
              <w:spacing w:line="276" w:lineRule="auto"/>
              <w:jc w:val="both"/>
              <w:cnfStyle w:val="000000100000" w:firstRow="0" w:lastRow="0" w:firstColumn="0" w:lastColumn="0" w:oddVBand="0" w:evenVBand="0" w:oddHBand="1" w:evenHBand="0" w:firstRowFirstColumn="0" w:firstRowLastColumn="0" w:lastRowFirstColumn="0" w:lastRowLastColumn="0"/>
              <w:rPr>
                <w:sz w:val="20"/>
              </w:rPr>
            </w:pPr>
            <w:r w:rsidRPr="00A415D8">
              <w:rPr>
                <w:sz w:val="20"/>
              </w:rPr>
              <w:t>042</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0480584C" w14:textId="77777777" w:rsidR="00B42640" w:rsidRPr="00A415D8" w:rsidRDefault="00B42640" w:rsidP="00CB3077">
            <w:pPr>
              <w:keepNext/>
              <w:keepLines/>
              <w:spacing w:line="276" w:lineRule="auto"/>
              <w:jc w:val="both"/>
              <w:rPr>
                <w:sz w:val="20"/>
              </w:rPr>
            </w:pPr>
            <w:r w:rsidRPr="00A415D8">
              <w:rPr>
                <w:sz w:val="20"/>
              </w:rPr>
              <w:t>321</w:t>
            </w:r>
          </w:p>
        </w:tc>
      </w:tr>
      <w:tr w:rsidR="00B42640" w:rsidRPr="00A415D8" w14:paraId="3B32C09A" w14:textId="77777777" w:rsidTr="00A37E1F">
        <w:trPr>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79D4BB31" w14:textId="77777777" w:rsidR="00B42640" w:rsidRPr="00A415D8" w:rsidRDefault="00B42640" w:rsidP="00CB3077">
            <w:pPr>
              <w:keepNext/>
              <w:keepLines/>
              <w:spacing w:line="276" w:lineRule="auto"/>
              <w:jc w:val="both"/>
              <w:rPr>
                <w:sz w:val="20"/>
              </w:rPr>
            </w:pPr>
            <w:r w:rsidRPr="00A415D8">
              <w:rPr>
                <w:sz w:val="20"/>
              </w:rPr>
              <w:t>Úhrada faktúry za nakúpený dopravný prostriedok - účtovanie na základe výpisu z  účtu</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711E4CFF" w14:textId="77777777" w:rsidR="00B42640" w:rsidRPr="00A415D8" w:rsidRDefault="00B42640" w:rsidP="00CB3077">
            <w:pPr>
              <w:keepNext/>
              <w:keepLines/>
              <w:spacing w:line="276" w:lineRule="auto"/>
              <w:jc w:val="both"/>
              <w:rPr>
                <w:sz w:val="20"/>
              </w:rPr>
            </w:pPr>
            <w:r w:rsidRPr="00A415D8">
              <w:rPr>
                <w:sz w:val="20"/>
              </w:rPr>
              <w:t>ŠRO</w:t>
            </w:r>
          </w:p>
        </w:tc>
        <w:tc>
          <w:tcPr>
            <w:tcW w:w="993" w:type="dxa"/>
            <w:vAlign w:val="center"/>
          </w:tcPr>
          <w:p w14:paraId="327CB8C4"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r w:rsidRPr="00A415D8">
              <w:rPr>
                <w:sz w:val="20"/>
              </w:rPr>
              <w:t>321</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75C900DB" w14:textId="77777777" w:rsidR="00B42640" w:rsidRPr="00A415D8" w:rsidRDefault="00B42640" w:rsidP="00CB3077">
            <w:pPr>
              <w:keepNext/>
              <w:keepLines/>
              <w:spacing w:line="276" w:lineRule="auto"/>
              <w:jc w:val="both"/>
              <w:rPr>
                <w:sz w:val="20"/>
              </w:rPr>
            </w:pPr>
            <w:r w:rsidRPr="00A415D8">
              <w:rPr>
                <w:sz w:val="20"/>
              </w:rPr>
              <w:t>225</w:t>
            </w:r>
          </w:p>
        </w:tc>
      </w:tr>
      <w:tr w:rsidR="00B42640" w:rsidRPr="00A415D8" w14:paraId="5CC53E14" w14:textId="77777777" w:rsidTr="00A37E1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2513B547" w14:textId="77777777" w:rsidR="00B42640" w:rsidRPr="00A415D8" w:rsidRDefault="00B42640" w:rsidP="00CB3077">
            <w:pPr>
              <w:keepNext/>
              <w:keepLines/>
              <w:spacing w:line="276" w:lineRule="auto"/>
              <w:jc w:val="both"/>
              <w:rPr>
                <w:sz w:val="20"/>
              </w:rPr>
            </w:pPr>
            <w:r w:rsidRPr="00A415D8">
              <w:rPr>
                <w:sz w:val="20"/>
              </w:rPr>
              <w:t>Zúčtovanie použitia kapitálového transferu od zriaďovateľa</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001E3CC3" w14:textId="77777777" w:rsidR="00B42640" w:rsidRPr="00A415D8" w:rsidRDefault="00B42640" w:rsidP="00CB3077">
            <w:pPr>
              <w:keepNext/>
              <w:keepLines/>
              <w:spacing w:line="276" w:lineRule="auto"/>
              <w:jc w:val="both"/>
              <w:rPr>
                <w:sz w:val="20"/>
              </w:rPr>
            </w:pPr>
            <w:r w:rsidRPr="00A415D8">
              <w:rPr>
                <w:sz w:val="20"/>
              </w:rPr>
              <w:t>ŠRO</w:t>
            </w:r>
          </w:p>
        </w:tc>
        <w:tc>
          <w:tcPr>
            <w:tcW w:w="993" w:type="dxa"/>
            <w:vAlign w:val="center"/>
          </w:tcPr>
          <w:p w14:paraId="230DC1C2" w14:textId="77777777" w:rsidR="00B42640" w:rsidRPr="00A415D8" w:rsidRDefault="00B42640" w:rsidP="00CB3077">
            <w:pPr>
              <w:keepNext/>
              <w:keepLines/>
              <w:spacing w:line="276" w:lineRule="auto"/>
              <w:jc w:val="both"/>
              <w:cnfStyle w:val="000000100000" w:firstRow="0" w:lastRow="0" w:firstColumn="0" w:lastColumn="0" w:oddVBand="0" w:evenVBand="0" w:oddHBand="1" w:evenHBand="0" w:firstRowFirstColumn="0" w:firstRowLastColumn="0" w:lastRowFirstColumn="0" w:lastRowLastColumn="0"/>
              <w:rPr>
                <w:sz w:val="20"/>
              </w:rPr>
            </w:pPr>
            <w:r w:rsidRPr="00A415D8">
              <w:rPr>
                <w:sz w:val="20"/>
              </w:rPr>
              <w:t>352</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61CEFCCD" w14:textId="77777777" w:rsidR="00B42640" w:rsidRPr="00A415D8" w:rsidRDefault="00B42640" w:rsidP="00CB3077">
            <w:pPr>
              <w:keepNext/>
              <w:keepLines/>
              <w:spacing w:line="276" w:lineRule="auto"/>
              <w:jc w:val="both"/>
              <w:rPr>
                <w:sz w:val="20"/>
              </w:rPr>
            </w:pPr>
            <w:r w:rsidRPr="00A415D8">
              <w:rPr>
                <w:sz w:val="20"/>
              </w:rPr>
              <w:t>353</w:t>
            </w:r>
          </w:p>
        </w:tc>
      </w:tr>
      <w:tr w:rsidR="00B42640" w:rsidRPr="00A415D8" w14:paraId="55DA9566" w14:textId="77777777" w:rsidTr="00A37E1F">
        <w:trPr>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15EB7DE7" w14:textId="77777777" w:rsidR="00B42640" w:rsidRPr="00A415D8" w:rsidRDefault="00B42640" w:rsidP="00CB3077">
            <w:pPr>
              <w:keepNext/>
              <w:keepLines/>
              <w:spacing w:line="276" w:lineRule="auto"/>
              <w:jc w:val="both"/>
              <w:rPr>
                <w:sz w:val="20"/>
              </w:rPr>
            </w:pPr>
            <w:r w:rsidRPr="00A415D8">
              <w:rPr>
                <w:sz w:val="20"/>
              </w:rPr>
              <w:t>Zaradenie automobilu do používania</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0649CB55" w14:textId="77777777" w:rsidR="00B42640" w:rsidRPr="00A415D8" w:rsidRDefault="00B42640" w:rsidP="00CB3077">
            <w:pPr>
              <w:keepNext/>
              <w:keepLines/>
              <w:spacing w:line="276" w:lineRule="auto"/>
              <w:jc w:val="both"/>
              <w:rPr>
                <w:sz w:val="20"/>
              </w:rPr>
            </w:pPr>
            <w:r w:rsidRPr="00A415D8">
              <w:rPr>
                <w:sz w:val="20"/>
              </w:rPr>
              <w:t>všetky právne formy</w:t>
            </w:r>
          </w:p>
        </w:tc>
        <w:tc>
          <w:tcPr>
            <w:tcW w:w="993" w:type="dxa"/>
            <w:vAlign w:val="center"/>
          </w:tcPr>
          <w:p w14:paraId="580A2922"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r w:rsidRPr="00A415D8">
              <w:rPr>
                <w:sz w:val="20"/>
              </w:rPr>
              <w:t>023</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18D8F278" w14:textId="77777777" w:rsidR="00B42640" w:rsidRPr="00A415D8" w:rsidRDefault="00B42640" w:rsidP="00CB3077">
            <w:pPr>
              <w:keepNext/>
              <w:keepLines/>
              <w:spacing w:line="276" w:lineRule="auto"/>
              <w:jc w:val="both"/>
              <w:rPr>
                <w:sz w:val="20"/>
              </w:rPr>
            </w:pPr>
            <w:r w:rsidRPr="00A415D8">
              <w:rPr>
                <w:sz w:val="20"/>
              </w:rPr>
              <w:t>042</w:t>
            </w:r>
          </w:p>
        </w:tc>
      </w:tr>
      <w:tr w:rsidR="00B42640" w:rsidRPr="00A415D8" w14:paraId="21CE1441" w14:textId="77777777" w:rsidTr="00A37E1F">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3DA23F8C" w14:textId="77777777" w:rsidR="00B42640" w:rsidRPr="00A415D8" w:rsidRDefault="00B42640" w:rsidP="00CB3077">
            <w:pPr>
              <w:keepNext/>
              <w:keepLines/>
              <w:spacing w:line="276" w:lineRule="auto"/>
              <w:jc w:val="both"/>
              <w:rPr>
                <w:sz w:val="20"/>
              </w:rPr>
            </w:pPr>
            <w:r w:rsidRPr="00A415D8">
              <w:rPr>
                <w:sz w:val="20"/>
              </w:rPr>
              <w:t>Odpisy automobilu podľa odpisového plánu</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146CC15E" w14:textId="77777777" w:rsidR="00B42640" w:rsidRPr="00A415D8" w:rsidRDefault="00B42640" w:rsidP="00CB3077">
            <w:pPr>
              <w:keepNext/>
              <w:keepLines/>
              <w:spacing w:line="276" w:lineRule="auto"/>
              <w:jc w:val="both"/>
              <w:rPr>
                <w:sz w:val="20"/>
              </w:rPr>
            </w:pPr>
            <w:r w:rsidRPr="00A415D8">
              <w:rPr>
                <w:sz w:val="20"/>
              </w:rPr>
              <w:t>všetky právne formy</w:t>
            </w:r>
          </w:p>
        </w:tc>
        <w:tc>
          <w:tcPr>
            <w:tcW w:w="993" w:type="dxa"/>
            <w:vAlign w:val="center"/>
          </w:tcPr>
          <w:p w14:paraId="2B42EF05" w14:textId="77777777" w:rsidR="00B42640" w:rsidRPr="00A415D8" w:rsidRDefault="00B42640" w:rsidP="00CB3077">
            <w:pPr>
              <w:keepNext/>
              <w:keepLines/>
              <w:spacing w:line="276" w:lineRule="auto"/>
              <w:jc w:val="both"/>
              <w:cnfStyle w:val="000000100000" w:firstRow="0" w:lastRow="0" w:firstColumn="0" w:lastColumn="0" w:oddVBand="0" w:evenVBand="0" w:oddHBand="1" w:evenHBand="0" w:firstRowFirstColumn="0" w:firstRowLastColumn="0" w:lastRowFirstColumn="0" w:lastRowLastColumn="0"/>
              <w:rPr>
                <w:sz w:val="20"/>
              </w:rPr>
            </w:pPr>
            <w:r w:rsidRPr="00A415D8">
              <w:rPr>
                <w:sz w:val="20"/>
              </w:rPr>
              <w:t>551</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41D84B50" w14:textId="77777777" w:rsidR="00B42640" w:rsidRPr="00A415D8" w:rsidRDefault="00B42640" w:rsidP="00CB3077">
            <w:pPr>
              <w:keepNext/>
              <w:keepLines/>
              <w:spacing w:line="276" w:lineRule="auto"/>
              <w:jc w:val="both"/>
              <w:rPr>
                <w:sz w:val="20"/>
              </w:rPr>
            </w:pPr>
            <w:r w:rsidRPr="00A415D8">
              <w:rPr>
                <w:sz w:val="20"/>
              </w:rPr>
              <w:t>083</w:t>
            </w:r>
          </w:p>
        </w:tc>
      </w:tr>
      <w:tr w:rsidR="00B42640" w:rsidRPr="00A415D8" w14:paraId="40BA89CF" w14:textId="77777777" w:rsidTr="00A37E1F">
        <w:trPr>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79EBD36F" w14:textId="77777777" w:rsidR="00B42640" w:rsidRPr="00A415D8" w:rsidRDefault="00B42640" w:rsidP="00CB3077">
            <w:pPr>
              <w:keepNext/>
              <w:keepLines/>
              <w:spacing w:line="276" w:lineRule="auto"/>
              <w:jc w:val="both"/>
              <w:rPr>
                <w:sz w:val="20"/>
              </w:rPr>
            </w:pPr>
            <w:r w:rsidRPr="00A415D8">
              <w:rPr>
                <w:sz w:val="20"/>
              </w:rPr>
              <w:t>Zúčtovanie kapitálového transferu od zriaďovateľa do výnosov vo vecnej a časovej súvislosti s odpismi  (nákladmi)</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671B30A6" w14:textId="77777777" w:rsidR="00B42640" w:rsidRPr="00A415D8" w:rsidRDefault="00B42640" w:rsidP="00CB3077">
            <w:pPr>
              <w:keepNext/>
              <w:keepLines/>
              <w:spacing w:line="276" w:lineRule="auto"/>
              <w:jc w:val="both"/>
              <w:rPr>
                <w:sz w:val="20"/>
              </w:rPr>
            </w:pPr>
            <w:r w:rsidRPr="00A415D8">
              <w:rPr>
                <w:sz w:val="20"/>
              </w:rPr>
              <w:t>ŠRO</w:t>
            </w:r>
          </w:p>
        </w:tc>
        <w:tc>
          <w:tcPr>
            <w:tcW w:w="993" w:type="dxa"/>
            <w:vAlign w:val="center"/>
          </w:tcPr>
          <w:p w14:paraId="19263CBB" w14:textId="77777777" w:rsidR="00B42640" w:rsidRPr="00A415D8" w:rsidRDefault="00B42640" w:rsidP="00CB3077">
            <w:pPr>
              <w:keepNext/>
              <w:keepLines/>
              <w:spacing w:line="276" w:lineRule="auto"/>
              <w:jc w:val="both"/>
              <w:cnfStyle w:val="000000000000" w:firstRow="0" w:lastRow="0" w:firstColumn="0" w:lastColumn="0" w:oddVBand="0" w:evenVBand="0" w:oddHBand="0" w:evenHBand="0" w:firstRowFirstColumn="0" w:firstRowLastColumn="0" w:lastRowFirstColumn="0" w:lastRowLastColumn="0"/>
              <w:rPr>
                <w:sz w:val="20"/>
              </w:rPr>
            </w:pPr>
            <w:r w:rsidRPr="00A415D8">
              <w:rPr>
                <w:sz w:val="20"/>
              </w:rPr>
              <w:t>353</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6AF47F0A" w14:textId="77777777" w:rsidR="00B42640" w:rsidRPr="00A415D8" w:rsidRDefault="00B42640" w:rsidP="00CB3077">
            <w:pPr>
              <w:keepNext/>
              <w:keepLines/>
              <w:spacing w:line="276" w:lineRule="auto"/>
              <w:jc w:val="both"/>
              <w:rPr>
                <w:sz w:val="20"/>
              </w:rPr>
            </w:pPr>
            <w:r w:rsidRPr="00A415D8">
              <w:rPr>
                <w:sz w:val="20"/>
              </w:rPr>
              <w:t>682</w:t>
            </w:r>
          </w:p>
        </w:tc>
      </w:tr>
      <w:tr w:rsidR="00B42640" w:rsidRPr="00A415D8" w14:paraId="6E6369BD" w14:textId="77777777" w:rsidTr="00A37E1F">
        <w:trPr>
          <w:cnfStyle w:val="010000000000" w:firstRow="0" w:lastRow="1"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302" w:type="dxa"/>
            <w:shd w:val="clear" w:color="auto" w:fill="E2EFD9" w:themeFill="accent6" w:themeFillTint="33"/>
            <w:vAlign w:val="center"/>
          </w:tcPr>
          <w:p w14:paraId="4F45A8AF" w14:textId="77777777" w:rsidR="00B42640" w:rsidRPr="00A415D8" w:rsidRDefault="00B42640" w:rsidP="00CB3077">
            <w:pPr>
              <w:keepNext/>
              <w:keepLines/>
              <w:spacing w:line="276" w:lineRule="auto"/>
              <w:jc w:val="both"/>
              <w:rPr>
                <w:sz w:val="20"/>
              </w:rPr>
            </w:pPr>
            <w:r w:rsidRPr="00A415D8">
              <w:rPr>
                <w:sz w:val="20"/>
              </w:rPr>
              <w:t>Zúčtovanie realizácie rozpočtových výdavkov ku dňu, ku ktorému sa zostavuje účtovná závierka</w:t>
            </w:r>
          </w:p>
        </w:tc>
        <w:tc>
          <w:tcPr>
            <w:cnfStyle w:val="000010000000" w:firstRow="0" w:lastRow="0" w:firstColumn="0" w:lastColumn="0" w:oddVBand="1" w:evenVBand="0" w:oddHBand="0" w:evenHBand="0" w:firstRowFirstColumn="0" w:firstRowLastColumn="0" w:lastRowFirstColumn="0" w:lastRowLastColumn="0"/>
            <w:tcW w:w="2210" w:type="dxa"/>
            <w:vAlign w:val="center"/>
          </w:tcPr>
          <w:p w14:paraId="3E651D49" w14:textId="77777777" w:rsidR="00B42640" w:rsidRPr="00A415D8" w:rsidRDefault="00B42640" w:rsidP="00CB3077">
            <w:pPr>
              <w:keepNext/>
              <w:keepLines/>
              <w:spacing w:line="276" w:lineRule="auto"/>
              <w:jc w:val="both"/>
              <w:rPr>
                <w:sz w:val="20"/>
              </w:rPr>
            </w:pPr>
            <w:r w:rsidRPr="00A415D8">
              <w:rPr>
                <w:sz w:val="20"/>
              </w:rPr>
              <w:t>ŠRO</w:t>
            </w:r>
          </w:p>
        </w:tc>
        <w:tc>
          <w:tcPr>
            <w:tcW w:w="993" w:type="dxa"/>
            <w:vAlign w:val="center"/>
          </w:tcPr>
          <w:p w14:paraId="48215FF2" w14:textId="77777777" w:rsidR="00B42640" w:rsidRPr="00A415D8" w:rsidRDefault="00B42640" w:rsidP="00CB3077">
            <w:pPr>
              <w:keepNext/>
              <w:keepLines/>
              <w:spacing w:line="276" w:lineRule="auto"/>
              <w:jc w:val="both"/>
              <w:cnfStyle w:val="010000000000" w:firstRow="0" w:lastRow="1" w:firstColumn="0" w:lastColumn="0" w:oddVBand="0" w:evenVBand="0" w:oddHBand="0" w:evenHBand="0" w:firstRowFirstColumn="0" w:firstRowLastColumn="0" w:lastRowFirstColumn="0" w:lastRowLastColumn="0"/>
              <w:rPr>
                <w:sz w:val="20"/>
              </w:rPr>
            </w:pPr>
            <w:r w:rsidRPr="00A415D8">
              <w:rPr>
                <w:sz w:val="20"/>
              </w:rPr>
              <w:t>225</w:t>
            </w:r>
          </w:p>
        </w:tc>
        <w:tc>
          <w:tcPr>
            <w:cnfStyle w:val="000100000000" w:firstRow="0" w:lastRow="0" w:firstColumn="0" w:lastColumn="1" w:oddVBand="0" w:evenVBand="0" w:oddHBand="0" w:evenHBand="0" w:firstRowFirstColumn="0" w:firstRowLastColumn="0" w:lastRowFirstColumn="0" w:lastRowLastColumn="0"/>
            <w:tcW w:w="992" w:type="dxa"/>
            <w:vAlign w:val="center"/>
          </w:tcPr>
          <w:p w14:paraId="436AAC5E" w14:textId="77777777" w:rsidR="00B42640" w:rsidRPr="00A415D8" w:rsidRDefault="00B42640" w:rsidP="00CB3077">
            <w:pPr>
              <w:keepNext/>
              <w:keepLines/>
              <w:spacing w:line="276" w:lineRule="auto"/>
              <w:jc w:val="both"/>
              <w:rPr>
                <w:sz w:val="20"/>
              </w:rPr>
            </w:pPr>
            <w:r w:rsidRPr="00A415D8">
              <w:rPr>
                <w:sz w:val="20"/>
              </w:rPr>
              <w:t>352</w:t>
            </w:r>
          </w:p>
        </w:tc>
      </w:tr>
    </w:tbl>
    <w:p w14:paraId="76DC5E75" w14:textId="77777777" w:rsidR="00B42640" w:rsidRDefault="00B42640" w:rsidP="00CB3077">
      <w:pPr>
        <w:keepNext/>
        <w:keepLines/>
      </w:pPr>
    </w:p>
    <w:p w14:paraId="7F20B6CC" w14:textId="77777777" w:rsidR="00B42640" w:rsidRDefault="00B42640" w:rsidP="00B42640"/>
    <w:p w14:paraId="7B0A7EEF" w14:textId="2BF58FE2" w:rsidR="00C85222" w:rsidRDefault="00C85222" w:rsidP="00B42640">
      <w:pPr>
        <w:pStyle w:val="Default"/>
        <w:spacing w:line="276" w:lineRule="auto"/>
        <w:jc w:val="both"/>
        <w:rPr>
          <w:rFonts w:asciiTheme="minorHAnsi" w:hAnsiTheme="minorHAnsi" w:cstheme="minorHAnsi"/>
          <w:sz w:val="20"/>
          <w:szCs w:val="20"/>
        </w:rPr>
      </w:pPr>
    </w:p>
    <w:p w14:paraId="069DACBE" w14:textId="727B7671" w:rsidR="00C85222" w:rsidRDefault="00C85222" w:rsidP="00B42640">
      <w:pPr>
        <w:pStyle w:val="Default"/>
        <w:spacing w:line="276" w:lineRule="auto"/>
        <w:jc w:val="both"/>
        <w:rPr>
          <w:rFonts w:asciiTheme="minorHAnsi" w:hAnsiTheme="minorHAnsi" w:cstheme="minorHAnsi"/>
          <w:sz w:val="20"/>
          <w:szCs w:val="20"/>
        </w:rPr>
      </w:pPr>
    </w:p>
    <w:p w14:paraId="057BBCEC" w14:textId="2D24C158" w:rsidR="00C85222" w:rsidRDefault="00C85222" w:rsidP="00B42640">
      <w:pPr>
        <w:pStyle w:val="Default"/>
        <w:spacing w:line="276" w:lineRule="auto"/>
        <w:jc w:val="both"/>
        <w:rPr>
          <w:rFonts w:asciiTheme="minorHAnsi" w:hAnsiTheme="minorHAnsi" w:cstheme="minorHAnsi"/>
          <w:sz w:val="20"/>
          <w:szCs w:val="20"/>
        </w:rPr>
      </w:pPr>
    </w:p>
    <w:p w14:paraId="761A1486" w14:textId="4C7A0499" w:rsidR="00C85222" w:rsidRDefault="00C85222" w:rsidP="00B42640">
      <w:pPr>
        <w:pStyle w:val="Default"/>
        <w:spacing w:line="276" w:lineRule="auto"/>
        <w:jc w:val="both"/>
        <w:rPr>
          <w:rFonts w:asciiTheme="minorHAnsi" w:hAnsiTheme="minorHAnsi" w:cstheme="minorHAnsi"/>
          <w:sz w:val="20"/>
          <w:szCs w:val="20"/>
        </w:rPr>
      </w:pPr>
    </w:p>
    <w:p w14:paraId="000F2D30" w14:textId="0135B967" w:rsidR="00C85222" w:rsidRDefault="00C85222" w:rsidP="00B42640">
      <w:pPr>
        <w:pStyle w:val="Default"/>
        <w:spacing w:line="276" w:lineRule="auto"/>
        <w:jc w:val="both"/>
        <w:rPr>
          <w:rFonts w:asciiTheme="minorHAnsi" w:hAnsiTheme="minorHAnsi" w:cstheme="minorHAnsi"/>
          <w:sz w:val="20"/>
          <w:szCs w:val="20"/>
        </w:rPr>
      </w:pPr>
    </w:p>
    <w:p w14:paraId="53D74105" w14:textId="77777777" w:rsidR="00C85222" w:rsidRPr="00036259" w:rsidRDefault="00C85222" w:rsidP="00B42640">
      <w:pPr>
        <w:pStyle w:val="Default"/>
        <w:spacing w:line="276" w:lineRule="auto"/>
        <w:jc w:val="both"/>
        <w:rPr>
          <w:rFonts w:asciiTheme="minorHAnsi" w:hAnsiTheme="minorHAnsi" w:cstheme="minorHAnsi"/>
          <w:sz w:val="20"/>
          <w:szCs w:val="20"/>
        </w:rPr>
      </w:pPr>
    </w:p>
    <w:sectPr w:rsidR="00C85222" w:rsidRPr="00036259" w:rsidSect="00F759CC">
      <w:headerReference w:type="default" r:id="rId13"/>
      <w:footerReference w:type="default" r:id="rId14"/>
      <w:pgSz w:w="11906" w:h="17338"/>
      <w:pgMar w:top="910" w:right="970" w:bottom="203" w:left="1171"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2DCE8" w14:textId="77777777" w:rsidR="00625476" w:rsidRDefault="00625476" w:rsidP="00F759CC">
      <w:pPr>
        <w:spacing w:after="0" w:line="240" w:lineRule="auto"/>
      </w:pPr>
      <w:r>
        <w:separator/>
      </w:r>
    </w:p>
  </w:endnote>
  <w:endnote w:type="continuationSeparator" w:id="0">
    <w:p w14:paraId="3C9B0EFE" w14:textId="77777777" w:rsidR="00625476" w:rsidRDefault="00625476" w:rsidP="00F75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364833"/>
      <w:docPartObj>
        <w:docPartGallery w:val="Page Numbers (Bottom of Page)"/>
        <w:docPartUnique/>
      </w:docPartObj>
    </w:sdtPr>
    <w:sdtEndPr/>
    <w:sdtContent>
      <w:p w14:paraId="5B8058CF" w14:textId="4CBC9C85" w:rsidR="00625476" w:rsidRDefault="00625476">
        <w:pPr>
          <w:pStyle w:val="Pta"/>
          <w:jc w:val="right"/>
        </w:pPr>
        <w:r>
          <w:fldChar w:fldCharType="begin"/>
        </w:r>
        <w:r>
          <w:instrText>PAGE   \* MERGEFORMAT</w:instrText>
        </w:r>
        <w:r>
          <w:fldChar w:fldCharType="separate"/>
        </w:r>
        <w:r w:rsidR="001042C7">
          <w:rPr>
            <w:noProof/>
          </w:rPr>
          <w:t>1</w:t>
        </w:r>
        <w:r>
          <w:fldChar w:fldCharType="end"/>
        </w:r>
      </w:p>
    </w:sdtContent>
  </w:sdt>
  <w:p w14:paraId="65DBF4B5" w14:textId="77777777" w:rsidR="00625476" w:rsidRDefault="0062547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0FAB3" w14:textId="77777777" w:rsidR="00625476" w:rsidRDefault="00625476" w:rsidP="00F759CC">
      <w:pPr>
        <w:spacing w:after="0" w:line="240" w:lineRule="auto"/>
      </w:pPr>
      <w:r>
        <w:separator/>
      </w:r>
    </w:p>
  </w:footnote>
  <w:footnote w:type="continuationSeparator" w:id="0">
    <w:p w14:paraId="0504DF51" w14:textId="77777777" w:rsidR="00625476" w:rsidRDefault="00625476" w:rsidP="00F759CC">
      <w:pPr>
        <w:spacing w:after="0" w:line="240" w:lineRule="auto"/>
      </w:pPr>
      <w:r>
        <w:continuationSeparator/>
      </w:r>
    </w:p>
  </w:footnote>
  <w:footnote w:id="1">
    <w:p w14:paraId="61A7A31A" w14:textId="59FC3726" w:rsidR="00625476" w:rsidRPr="007B6C30" w:rsidRDefault="00625476" w:rsidP="00B645C8">
      <w:pPr>
        <w:pStyle w:val="Textpoznmkypodiarou"/>
        <w:jc w:val="both"/>
        <w:rPr>
          <w:sz w:val="18"/>
        </w:rPr>
      </w:pPr>
      <w:r>
        <w:rPr>
          <w:rStyle w:val="Odkaznapoznmkupodiarou"/>
        </w:rPr>
        <w:footnoteRef/>
      </w:r>
      <w:r>
        <w:t xml:space="preserve"> </w:t>
      </w:r>
      <w:r w:rsidRPr="007B6C30">
        <w:rPr>
          <w:rFonts w:cstheme="minorHAnsi"/>
          <w:sz w:val="18"/>
        </w:rPr>
        <w:t>Na Projekty generujúce príjmy, ktorých celkové oprávnené výdavky s</w:t>
      </w:r>
      <w:r w:rsidR="00A956FF" w:rsidRPr="007B6C30">
        <w:rPr>
          <w:rFonts w:cstheme="minorHAnsi"/>
          <w:sz w:val="18"/>
        </w:rPr>
        <w:t>ú rovné alebo nižšie ako 1 mil.</w:t>
      </w:r>
      <w:r w:rsidRPr="007B6C30">
        <w:rPr>
          <w:rFonts w:cstheme="minorHAnsi"/>
          <w:sz w:val="18"/>
        </w:rPr>
        <w:t xml:space="preserve"> EUR, sa nevzťahuje povinnosť monitorovania Čistých príjmov</w:t>
      </w:r>
      <w:r w:rsidR="00E0417C">
        <w:rPr>
          <w:rFonts w:cstheme="minorHAnsi"/>
          <w:sz w:val="18"/>
        </w:rPr>
        <w:t>.</w:t>
      </w:r>
    </w:p>
  </w:footnote>
  <w:footnote w:id="2">
    <w:p w14:paraId="514E6563" w14:textId="77777777" w:rsidR="00625476" w:rsidRPr="00981F54" w:rsidRDefault="00625476" w:rsidP="00B42640">
      <w:pPr>
        <w:pStyle w:val="Textpoznmkypodiarou"/>
      </w:pPr>
      <w:r>
        <w:rPr>
          <w:rStyle w:val="Odkaznapoznmkupodiarou"/>
        </w:rPr>
        <w:footnoteRef/>
      </w:r>
      <w:r>
        <w:t xml:space="preserve"> </w:t>
      </w:r>
      <w:r w:rsidRPr="00981F54">
        <w:rPr>
          <w:rFonts w:asciiTheme="minorHAnsi" w:hAnsiTheme="minorHAnsi" w:cs="Arial"/>
          <w:szCs w:val="16"/>
        </w:rPr>
        <w:t>Jedným z typov neoprávnenej sumy je "Výdavky nad rámec finančnej medzery".</w:t>
      </w:r>
    </w:p>
  </w:footnote>
  <w:footnote w:id="3">
    <w:p w14:paraId="22EAE9A8" w14:textId="6DCB7700" w:rsidR="00625476" w:rsidRPr="00CD00F2" w:rsidRDefault="00625476" w:rsidP="00B42640">
      <w:pPr>
        <w:pStyle w:val="Textpoznmkypodiarou"/>
      </w:pPr>
      <w:r w:rsidRPr="00CD00F2">
        <w:rPr>
          <w:rStyle w:val="Odkaznapoznmkupodiarou"/>
        </w:rPr>
        <w:footnoteRef/>
      </w:r>
      <w:r w:rsidRPr="00CD00F2">
        <w:t xml:space="preserve"> </w:t>
      </w:r>
      <w:r w:rsidRPr="00B521FB">
        <w:rPr>
          <w:rFonts w:ascii="Calibri" w:hAnsi="Calibri" w:cs="Calibri"/>
        </w:rPr>
        <w:t>Projekty generujúce príjem počas stanoveného referenčného obdobia, ktorých celkové oprávnené výdavky sú nižšie ako 1 000 000 Eur, nesp</w:t>
      </w:r>
      <w:r w:rsidR="00E167A8">
        <w:rPr>
          <w:rFonts w:ascii="Calibri" w:hAnsi="Calibri" w:cs="Calibri"/>
        </w:rPr>
        <w:t xml:space="preserve">adajú pod ustanovenia tejto kapitoly </w:t>
      </w:r>
      <w:proofErr w:type="spellStart"/>
      <w:r w:rsidR="00E167A8">
        <w:rPr>
          <w:rFonts w:ascii="Calibri" w:hAnsi="Calibri" w:cs="Calibri"/>
        </w:rPr>
        <w:t>PpP</w:t>
      </w:r>
      <w:proofErr w:type="spellEnd"/>
      <w:r w:rsidRPr="00B521FB">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F3174" w14:textId="77777777" w:rsidR="00625476" w:rsidRPr="00F759CC" w:rsidRDefault="00625476" w:rsidP="00F759CC">
    <w:pPr>
      <w:pStyle w:val="Hlavika"/>
    </w:pPr>
    <w:r w:rsidRPr="00D72D62">
      <w:rPr>
        <w:noProof/>
        <w:lang w:eastAsia="sk-SK"/>
      </w:rPr>
      <w:drawing>
        <wp:inline distT="0" distB="0" distL="0" distR="0" wp14:anchorId="493FC4D4" wp14:editId="2E6EC42C">
          <wp:extent cx="5753100" cy="41275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2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7713E"/>
    <w:multiLevelType w:val="hybridMultilevel"/>
    <w:tmpl w:val="391AF06E"/>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7352AEA"/>
    <w:multiLevelType w:val="hybridMultilevel"/>
    <w:tmpl w:val="C9848498"/>
    <w:lvl w:ilvl="0" w:tplc="A5821412">
      <w:numFmt w:val="bullet"/>
      <w:lvlText w:val="-"/>
      <w:lvlJc w:val="left"/>
      <w:pPr>
        <w:ind w:left="765" w:hanging="360"/>
      </w:pPr>
      <w:rPr>
        <w:rFonts w:ascii="Times New Roman" w:eastAsia="Times New Roman" w:hAnsi="Times New Roman"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7771E24"/>
    <w:multiLevelType w:val="hybridMultilevel"/>
    <w:tmpl w:val="C8980322"/>
    <w:lvl w:ilvl="0" w:tplc="36EE9FC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15:restartNumberingAfterBreak="0">
    <w:nsid w:val="0E9C29B9"/>
    <w:multiLevelType w:val="hybridMultilevel"/>
    <w:tmpl w:val="C8CA7C3A"/>
    <w:lvl w:ilvl="0" w:tplc="43E06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5" w15:restartNumberingAfterBreak="0">
    <w:nsid w:val="1BEA24E1"/>
    <w:multiLevelType w:val="hybridMultilevel"/>
    <w:tmpl w:val="4C7EDD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F8F6D21"/>
    <w:multiLevelType w:val="hybridMultilevel"/>
    <w:tmpl w:val="A70875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08546F9"/>
    <w:multiLevelType w:val="hybridMultilevel"/>
    <w:tmpl w:val="37B0BB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10082C"/>
    <w:multiLevelType w:val="hybridMultilevel"/>
    <w:tmpl w:val="8D7098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EC57084"/>
    <w:multiLevelType w:val="hybridMultilevel"/>
    <w:tmpl w:val="5D2850AA"/>
    <w:lvl w:ilvl="0" w:tplc="7170476C">
      <w:start w:val="1"/>
      <w:numFmt w:val="decimal"/>
      <w:lvlText w:val="%1."/>
      <w:lvlJc w:val="left"/>
      <w:pPr>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pStyle w:val="Nadpis4"/>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0"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34D64104"/>
    <w:multiLevelType w:val="hybridMultilevel"/>
    <w:tmpl w:val="34947C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5E7305E"/>
    <w:multiLevelType w:val="hybridMultilevel"/>
    <w:tmpl w:val="7E1C75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A75A52"/>
    <w:multiLevelType w:val="hybridMultilevel"/>
    <w:tmpl w:val="0616EF60"/>
    <w:lvl w:ilvl="0" w:tplc="041B0001">
      <w:start w:val="1"/>
      <w:numFmt w:val="bullet"/>
      <w:lvlText w:val=""/>
      <w:lvlJc w:val="left"/>
      <w:pPr>
        <w:ind w:left="1190" w:hanging="360"/>
      </w:pPr>
      <w:rPr>
        <w:rFonts w:ascii="Symbol" w:hAnsi="Symbol" w:hint="default"/>
      </w:rPr>
    </w:lvl>
    <w:lvl w:ilvl="1" w:tplc="041B0003" w:tentative="1">
      <w:start w:val="1"/>
      <w:numFmt w:val="bullet"/>
      <w:lvlText w:val="o"/>
      <w:lvlJc w:val="left"/>
      <w:pPr>
        <w:ind w:left="1910" w:hanging="360"/>
      </w:pPr>
      <w:rPr>
        <w:rFonts w:ascii="Courier New" w:hAnsi="Courier New" w:cs="Courier New" w:hint="default"/>
      </w:rPr>
    </w:lvl>
    <w:lvl w:ilvl="2" w:tplc="041B0005" w:tentative="1">
      <w:start w:val="1"/>
      <w:numFmt w:val="bullet"/>
      <w:lvlText w:val=""/>
      <w:lvlJc w:val="left"/>
      <w:pPr>
        <w:ind w:left="2630" w:hanging="360"/>
      </w:pPr>
      <w:rPr>
        <w:rFonts w:ascii="Wingdings" w:hAnsi="Wingdings" w:hint="default"/>
      </w:rPr>
    </w:lvl>
    <w:lvl w:ilvl="3" w:tplc="041B0001" w:tentative="1">
      <w:start w:val="1"/>
      <w:numFmt w:val="bullet"/>
      <w:lvlText w:val=""/>
      <w:lvlJc w:val="left"/>
      <w:pPr>
        <w:ind w:left="3350" w:hanging="360"/>
      </w:pPr>
      <w:rPr>
        <w:rFonts w:ascii="Symbol" w:hAnsi="Symbol" w:hint="default"/>
      </w:rPr>
    </w:lvl>
    <w:lvl w:ilvl="4" w:tplc="041B0003" w:tentative="1">
      <w:start w:val="1"/>
      <w:numFmt w:val="bullet"/>
      <w:lvlText w:val="o"/>
      <w:lvlJc w:val="left"/>
      <w:pPr>
        <w:ind w:left="4070" w:hanging="360"/>
      </w:pPr>
      <w:rPr>
        <w:rFonts w:ascii="Courier New" w:hAnsi="Courier New" w:cs="Courier New" w:hint="default"/>
      </w:rPr>
    </w:lvl>
    <w:lvl w:ilvl="5" w:tplc="041B0005" w:tentative="1">
      <w:start w:val="1"/>
      <w:numFmt w:val="bullet"/>
      <w:lvlText w:val=""/>
      <w:lvlJc w:val="left"/>
      <w:pPr>
        <w:ind w:left="4790" w:hanging="360"/>
      </w:pPr>
      <w:rPr>
        <w:rFonts w:ascii="Wingdings" w:hAnsi="Wingdings" w:hint="default"/>
      </w:rPr>
    </w:lvl>
    <w:lvl w:ilvl="6" w:tplc="041B0001" w:tentative="1">
      <w:start w:val="1"/>
      <w:numFmt w:val="bullet"/>
      <w:lvlText w:val=""/>
      <w:lvlJc w:val="left"/>
      <w:pPr>
        <w:ind w:left="5510" w:hanging="360"/>
      </w:pPr>
      <w:rPr>
        <w:rFonts w:ascii="Symbol" w:hAnsi="Symbol" w:hint="default"/>
      </w:rPr>
    </w:lvl>
    <w:lvl w:ilvl="7" w:tplc="041B0003" w:tentative="1">
      <w:start w:val="1"/>
      <w:numFmt w:val="bullet"/>
      <w:lvlText w:val="o"/>
      <w:lvlJc w:val="left"/>
      <w:pPr>
        <w:ind w:left="6230" w:hanging="360"/>
      </w:pPr>
      <w:rPr>
        <w:rFonts w:ascii="Courier New" w:hAnsi="Courier New" w:cs="Courier New" w:hint="default"/>
      </w:rPr>
    </w:lvl>
    <w:lvl w:ilvl="8" w:tplc="041B0005" w:tentative="1">
      <w:start w:val="1"/>
      <w:numFmt w:val="bullet"/>
      <w:lvlText w:val=""/>
      <w:lvlJc w:val="left"/>
      <w:pPr>
        <w:ind w:left="6950" w:hanging="360"/>
      </w:pPr>
      <w:rPr>
        <w:rFonts w:ascii="Wingdings" w:hAnsi="Wingdings" w:hint="default"/>
      </w:rPr>
    </w:lvl>
  </w:abstractNum>
  <w:abstractNum w:abstractNumId="14" w15:restartNumberingAfterBreak="0">
    <w:nsid w:val="3A5E56B1"/>
    <w:multiLevelType w:val="hybridMultilevel"/>
    <w:tmpl w:val="0C0EE08E"/>
    <w:lvl w:ilvl="0" w:tplc="68306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E2D1631"/>
    <w:multiLevelType w:val="multilevel"/>
    <w:tmpl w:val="DCDA2E6E"/>
    <w:lvl w:ilvl="0">
      <w:start w:val="1"/>
      <w:numFmt w:val="decimal"/>
      <w:lvlText w:val="%1."/>
      <w:lvlJc w:val="left"/>
      <w:pPr>
        <w:ind w:left="1065" w:hanging="705"/>
      </w:pPr>
      <w:rPr>
        <w:rFonts w:cs="Times New Roman" w:hint="default"/>
        <w:b/>
        <w:color w:val="FFFFFF" w:themeColor="background1"/>
      </w:rPr>
    </w:lvl>
    <w:lvl w:ilvl="1">
      <w:start w:val="1"/>
      <w:numFmt w:val="decimal"/>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16" w15:restartNumberingAfterBreak="0">
    <w:nsid w:val="414956F3"/>
    <w:multiLevelType w:val="hybridMultilevel"/>
    <w:tmpl w:val="7D9AF7B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50065E9"/>
    <w:multiLevelType w:val="hybridMultilevel"/>
    <w:tmpl w:val="D17AE8B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46A4437E"/>
    <w:multiLevelType w:val="hybridMultilevel"/>
    <w:tmpl w:val="0A7A27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FC349F"/>
    <w:multiLevelType w:val="hybridMultilevel"/>
    <w:tmpl w:val="8D7098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2" w15:restartNumberingAfterBreak="0">
    <w:nsid w:val="535E0B04"/>
    <w:multiLevelType w:val="multilevel"/>
    <w:tmpl w:val="616826E4"/>
    <w:lvl w:ilvl="0">
      <w:start w:val="6"/>
      <w:numFmt w:val="decimal"/>
      <w:lvlText w:val="%1."/>
      <w:lvlJc w:val="left"/>
      <w:pPr>
        <w:ind w:left="360" w:hanging="360"/>
      </w:pPr>
      <w:rPr>
        <w:rFonts w:hint="default"/>
        <w:b/>
        <w:sz w:val="22"/>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BF21EA4"/>
    <w:multiLevelType w:val="hybridMultilevel"/>
    <w:tmpl w:val="66F43C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0F27C55"/>
    <w:multiLevelType w:val="hybridMultilevel"/>
    <w:tmpl w:val="1916C990"/>
    <w:lvl w:ilvl="0" w:tplc="51F0D39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188765F"/>
    <w:multiLevelType w:val="hybridMultilevel"/>
    <w:tmpl w:val="19EE3B6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4310AC1"/>
    <w:multiLevelType w:val="hybridMultilevel"/>
    <w:tmpl w:val="7F36A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6C7517C1"/>
    <w:multiLevelType w:val="hybridMultilevel"/>
    <w:tmpl w:val="34947C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CA25539"/>
    <w:multiLevelType w:val="hybridMultilevel"/>
    <w:tmpl w:val="CB1C8EFC"/>
    <w:lvl w:ilvl="0" w:tplc="E0EECC4C">
      <w:start w:val="1"/>
      <w:numFmt w:val="decimal"/>
      <w:lvlText w:val="%1."/>
      <w:lvlJc w:val="left"/>
      <w:pPr>
        <w:ind w:left="720" w:hanging="360"/>
      </w:pPr>
      <w:rPr>
        <w:rFonts w:ascii="Calibri" w:eastAsiaTheme="minorHAnsi" w:hAnsi="Calibri" w:cs="Calibri" w:hint="default"/>
        <w:color w:val="00000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371624"/>
    <w:multiLevelType w:val="hybridMultilevel"/>
    <w:tmpl w:val="EE3647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8708E2"/>
    <w:multiLevelType w:val="hybridMultilevel"/>
    <w:tmpl w:val="BF54AF4A"/>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34" w15:restartNumberingAfterBreak="0">
    <w:nsid w:val="6EA214BC"/>
    <w:multiLevelType w:val="hybridMultilevel"/>
    <w:tmpl w:val="0EDA0E58"/>
    <w:lvl w:ilvl="0" w:tplc="C03A15C6">
      <w:numFmt w:val="bullet"/>
      <w:lvlText w:val="-"/>
      <w:lvlJc w:val="left"/>
      <w:pPr>
        <w:ind w:left="1065" w:hanging="705"/>
      </w:pPr>
      <w:rPr>
        <w:rFonts w:ascii="Verdana" w:eastAsiaTheme="minorEastAsia" w:hAnsi="Verdan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F025FAA"/>
    <w:multiLevelType w:val="multilevel"/>
    <w:tmpl w:val="80E2D04A"/>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Calibri" w:hAnsi="Calibri" w:cs="Calibri" w:hint="default"/>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36"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37"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E2806EB"/>
    <w:multiLevelType w:val="multilevel"/>
    <w:tmpl w:val="5E4E4326"/>
    <w:lvl w:ilvl="0">
      <w:start w:val="1"/>
      <w:numFmt w:val="decimal"/>
      <w:lvlText w:val="%1."/>
      <w:lvlJc w:val="left"/>
      <w:pPr>
        <w:ind w:left="1065" w:hanging="705"/>
      </w:pPr>
      <w:rPr>
        <w:rFonts w:cs="Times New Roman" w:hint="default"/>
        <w:b/>
        <w:color w:val="FFFFFF" w:themeColor="background1"/>
      </w:rPr>
    </w:lvl>
    <w:lvl w:ilvl="1">
      <w:start w:val="3"/>
      <w:numFmt w:val="decimal"/>
      <w:pStyle w:val="Nadpis2"/>
      <w:isLgl/>
      <w:lvlText w:val="%1.%2"/>
      <w:lvlJc w:val="left"/>
      <w:pPr>
        <w:ind w:left="1064" w:hanging="780"/>
      </w:pPr>
      <w:rPr>
        <w:rFonts w:ascii="Arial Narrow" w:hAnsi="Arial Narrow" w:cs="Times New Roman" w:hint="default"/>
        <w:b w:val="0"/>
        <w:i w:val="0"/>
        <w:color w:val="auto"/>
        <w:sz w:val="24"/>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num w:numId="1">
    <w:abstractNumId w:val="16"/>
  </w:num>
  <w:num w:numId="2">
    <w:abstractNumId w:val="33"/>
  </w:num>
  <w:num w:numId="3">
    <w:abstractNumId w:val="25"/>
  </w:num>
  <w:num w:numId="4">
    <w:abstractNumId w:val="32"/>
  </w:num>
  <w:num w:numId="5">
    <w:abstractNumId w:val="11"/>
  </w:num>
  <w:num w:numId="6">
    <w:abstractNumId w:val="30"/>
  </w:num>
  <w:num w:numId="7">
    <w:abstractNumId w:val="31"/>
  </w:num>
  <w:num w:numId="8">
    <w:abstractNumId w:val="5"/>
  </w:num>
  <w:num w:numId="9">
    <w:abstractNumId w:val="7"/>
  </w:num>
  <w:num w:numId="10">
    <w:abstractNumId w:val="6"/>
  </w:num>
  <w:num w:numId="11">
    <w:abstractNumId w:val="14"/>
  </w:num>
  <w:num w:numId="12">
    <w:abstractNumId w:val="24"/>
  </w:num>
  <w:num w:numId="13">
    <w:abstractNumId w:val="2"/>
  </w:num>
  <w:num w:numId="14">
    <w:abstractNumId w:val="17"/>
  </w:num>
  <w:num w:numId="15">
    <w:abstractNumId w:val="0"/>
  </w:num>
  <w:num w:numId="16">
    <w:abstractNumId w:val="13"/>
  </w:num>
  <w:num w:numId="17">
    <w:abstractNumId w:val="26"/>
  </w:num>
  <w:num w:numId="18">
    <w:abstractNumId w:val="8"/>
  </w:num>
  <w:num w:numId="19">
    <w:abstractNumId w:val="19"/>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35"/>
  </w:num>
  <w:num w:numId="24">
    <w:abstractNumId w:val="22"/>
  </w:num>
  <w:num w:numId="25">
    <w:abstractNumId w:val="36"/>
  </w:num>
  <w:num w:numId="26">
    <w:abstractNumId w:val="29"/>
  </w:num>
  <w:num w:numId="27">
    <w:abstractNumId w:val="23"/>
  </w:num>
  <w:num w:numId="28">
    <w:abstractNumId w:val="10"/>
  </w:num>
  <w:num w:numId="29">
    <w:abstractNumId w:val="4"/>
  </w:num>
  <w:num w:numId="30">
    <w:abstractNumId w:val="20"/>
  </w:num>
  <w:num w:numId="31">
    <w:abstractNumId w:val="27"/>
  </w:num>
  <w:num w:numId="32">
    <w:abstractNumId w:val="15"/>
  </w:num>
  <w:num w:numId="33">
    <w:abstractNumId w:val="34"/>
  </w:num>
  <w:num w:numId="34">
    <w:abstractNumId w:val="3"/>
  </w:num>
  <w:num w:numId="35">
    <w:abstractNumId w:val="28"/>
  </w:num>
  <w:num w:numId="36">
    <w:abstractNumId w:val="18"/>
  </w:num>
  <w:num w:numId="37">
    <w:abstractNumId w:val="1"/>
  </w:num>
  <w:num w:numId="38">
    <w:abstractNumId w:val="37"/>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9CC"/>
    <w:rsid w:val="00006E90"/>
    <w:rsid w:val="00036259"/>
    <w:rsid w:val="00041901"/>
    <w:rsid w:val="00103E00"/>
    <w:rsid w:val="001042C7"/>
    <w:rsid w:val="0012030F"/>
    <w:rsid w:val="001B380B"/>
    <w:rsid w:val="001F3742"/>
    <w:rsid w:val="00235012"/>
    <w:rsid w:val="002A028C"/>
    <w:rsid w:val="002E7964"/>
    <w:rsid w:val="002F1A6A"/>
    <w:rsid w:val="003214FC"/>
    <w:rsid w:val="003433BA"/>
    <w:rsid w:val="004149C4"/>
    <w:rsid w:val="00431826"/>
    <w:rsid w:val="004C3EE5"/>
    <w:rsid w:val="004E7A7D"/>
    <w:rsid w:val="00591671"/>
    <w:rsid w:val="00625476"/>
    <w:rsid w:val="00660D3F"/>
    <w:rsid w:val="00662797"/>
    <w:rsid w:val="00672669"/>
    <w:rsid w:val="0068705D"/>
    <w:rsid w:val="00704CAC"/>
    <w:rsid w:val="00726782"/>
    <w:rsid w:val="00733E16"/>
    <w:rsid w:val="00760115"/>
    <w:rsid w:val="007717D3"/>
    <w:rsid w:val="007A4094"/>
    <w:rsid w:val="007B6C30"/>
    <w:rsid w:val="007D525C"/>
    <w:rsid w:val="008036D9"/>
    <w:rsid w:val="008322CE"/>
    <w:rsid w:val="008F4C53"/>
    <w:rsid w:val="00937796"/>
    <w:rsid w:val="0095681C"/>
    <w:rsid w:val="009B3628"/>
    <w:rsid w:val="009D53B0"/>
    <w:rsid w:val="009E68F8"/>
    <w:rsid w:val="00A23565"/>
    <w:rsid w:val="00A37E1F"/>
    <w:rsid w:val="00A956FF"/>
    <w:rsid w:val="00AF2BB8"/>
    <w:rsid w:val="00B26DA1"/>
    <w:rsid w:val="00B34F6C"/>
    <w:rsid w:val="00B42640"/>
    <w:rsid w:val="00B645C8"/>
    <w:rsid w:val="00C123AF"/>
    <w:rsid w:val="00C85222"/>
    <w:rsid w:val="00CB3077"/>
    <w:rsid w:val="00CD55F4"/>
    <w:rsid w:val="00D43561"/>
    <w:rsid w:val="00DC1B21"/>
    <w:rsid w:val="00E038EF"/>
    <w:rsid w:val="00E0417C"/>
    <w:rsid w:val="00E167A8"/>
    <w:rsid w:val="00E6115D"/>
    <w:rsid w:val="00E93F65"/>
    <w:rsid w:val="00EF4209"/>
    <w:rsid w:val="00F225A9"/>
    <w:rsid w:val="00F247B8"/>
    <w:rsid w:val="00F759CC"/>
    <w:rsid w:val="00FA1302"/>
    <w:rsid w:val="00FC61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B715D"/>
  <w15:chartTrackingRefBased/>
  <w15:docId w15:val="{AF58C022-338E-4A32-AFCD-A212BB772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uiPriority w:val="99"/>
    <w:qFormat/>
    <w:rsid w:val="00B42640"/>
    <w:pPr>
      <w:keepNext/>
      <w:numPr>
        <w:ilvl w:val="1"/>
        <w:numId w:val="22"/>
      </w:numPr>
      <w:spacing w:after="240" w:line="276" w:lineRule="auto"/>
      <w:outlineLvl w:val="1"/>
    </w:pPr>
    <w:rPr>
      <w:rFonts w:ascii="Arial Narrow" w:eastAsia="Times New Roman" w:hAnsi="Arial Narrow" w:cstheme="minorHAnsi"/>
      <w:b/>
      <w:bCs/>
      <w:color w:val="4A81BD"/>
      <w:sz w:val="28"/>
      <w:szCs w:val="24"/>
      <w:lang w:eastAsia="sk-SK"/>
    </w:rPr>
  </w:style>
  <w:style w:type="paragraph" w:styleId="Nadpis3">
    <w:name w:val="heading 3"/>
    <w:basedOn w:val="Normlny"/>
    <w:next w:val="Normlny"/>
    <w:link w:val="Nadpis3Char"/>
    <w:uiPriority w:val="99"/>
    <w:qFormat/>
    <w:rsid w:val="00B42640"/>
    <w:pPr>
      <w:spacing w:after="120" w:line="240" w:lineRule="auto"/>
      <w:jc w:val="both"/>
      <w:outlineLvl w:val="2"/>
    </w:pPr>
    <w:rPr>
      <w:rFonts w:ascii="Arial Narrow" w:eastAsia="Times New Roman" w:hAnsi="Arial Narrow" w:cs="Arial"/>
      <w:b/>
      <w:color w:val="1F497D"/>
      <w:sz w:val="24"/>
      <w:szCs w:val="24"/>
    </w:rPr>
  </w:style>
  <w:style w:type="paragraph" w:styleId="Nadpis4">
    <w:name w:val="heading 4"/>
    <w:basedOn w:val="Nadpis3"/>
    <w:next w:val="Normlny"/>
    <w:link w:val="Nadpis4Char"/>
    <w:uiPriority w:val="99"/>
    <w:qFormat/>
    <w:rsid w:val="00B42640"/>
    <w:pPr>
      <w:numPr>
        <w:ilvl w:val="2"/>
        <w:numId w:val="20"/>
      </w:numPr>
      <w:outlineLvl w:val="3"/>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F759CC"/>
    <w:pPr>
      <w:autoSpaceDE w:val="0"/>
      <w:autoSpaceDN w:val="0"/>
      <w:adjustRightInd w:val="0"/>
      <w:spacing w:after="0" w:line="240" w:lineRule="auto"/>
    </w:pPr>
    <w:rPr>
      <w:rFonts w:ascii="Calibri" w:hAnsi="Calibri" w:cs="Calibri"/>
      <w:color w:val="000000"/>
      <w:sz w:val="24"/>
      <w:szCs w:val="24"/>
    </w:rPr>
  </w:style>
  <w:style w:type="paragraph" w:styleId="Hlavika">
    <w:name w:val="header"/>
    <w:aliases w:val="hd,he,header"/>
    <w:basedOn w:val="Normlny"/>
    <w:link w:val="HlavikaChar"/>
    <w:uiPriority w:val="99"/>
    <w:unhideWhenUsed/>
    <w:rsid w:val="00F759CC"/>
    <w:pPr>
      <w:tabs>
        <w:tab w:val="center" w:pos="4536"/>
        <w:tab w:val="right" w:pos="9072"/>
      </w:tabs>
      <w:spacing w:after="0" w:line="240" w:lineRule="auto"/>
    </w:pPr>
  </w:style>
  <w:style w:type="character" w:customStyle="1" w:styleId="HlavikaChar">
    <w:name w:val="Hlavička Char"/>
    <w:aliases w:val="hd Char,he Char,header Char"/>
    <w:basedOn w:val="Predvolenpsmoodseku"/>
    <w:link w:val="Hlavika"/>
    <w:uiPriority w:val="99"/>
    <w:rsid w:val="00F759CC"/>
  </w:style>
  <w:style w:type="paragraph" w:styleId="Pta">
    <w:name w:val="footer"/>
    <w:basedOn w:val="Normlny"/>
    <w:link w:val="PtaChar"/>
    <w:uiPriority w:val="99"/>
    <w:unhideWhenUsed/>
    <w:rsid w:val="00F759CC"/>
    <w:pPr>
      <w:tabs>
        <w:tab w:val="center" w:pos="4536"/>
        <w:tab w:val="right" w:pos="9072"/>
      </w:tabs>
      <w:spacing w:after="0" w:line="240" w:lineRule="auto"/>
    </w:pPr>
  </w:style>
  <w:style w:type="character" w:customStyle="1" w:styleId="PtaChar">
    <w:name w:val="Päta Char"/>
    <w:basedOn w:val="Predvolenpsmoodseku"/>
    <w:link w:val="Pta"/>
    <w:uiPriority w:val="99"/>
    <w:rsid w:val="00F759CC"/>
  </w:style>
  <w:style w:type="paragraph" w:styleId="Nzov">
    <w:name w:val="Title"/>
    <w:basedOn w:val="Normlny"/>
    <w:link w:val="NzovChar"/>
    <w:qFormat/>
    <w:rsid w:val="00F759CC"/>
    <w:pPr>
      <w:spacing w:after="0" w:line="240" w:lineRule="auto"/>
      <w:jc w:val="center"/>
    </w:pPr>
    <w:rPr>
      <w:rFonts w:ascii="Times New Roman" w:eastAsia="Times New Roman" w:hAnsi="Times New Roman" w:cs="Times New Roman"/>
      <w:b/>
      <w:bCs/>
      <w:sz w:val="32"/>
      <w:szCs w:val="24"/>
      <w:lang w:eastAsia="sk-SK"/>
    </w:rPr>
  </w:style>
  <w:style w:type="character" w:customStyle="1" w:styleId="NzovChar">
    <w:name w:val="Názov Char"/>
    <w:basedOn w:val="Predvolenpsmoodseku"/>
    <w:link w:val="Nzov"/>
    <w:rsid w:val="00F759CC"/>
    <w:rPr>
      <w:rFonts w:ascii="Times New Roman" w:eastAsia="Times New Roman" w:hAnsi="Times New Roman" w:cs="Times New Roman"/>
      <w:b/>
      <w:bCs/>
      <w:sz w:val="32"/>
      <w:szCs w:val="24"/>
      <w:lang w:eastAsia="sk-SK"/>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uiPriority w:val="99"/>
    <w:qFormat/>
    <w:rsid w:val="00F759CC"/>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uiPriority w:val="99"/>
    <w:qFormat/>
    <w:rsid w:val="00F759CC"/>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qFormat/>
    <w:rsid w:val="00F759CC"/>
    <w:rPr>
      <w:vertAlign w:val="superscript"/>
    </w:rPr>
  </w:style>
  <w:style w:type="paragraph" w:styleId="Odsekzoznamu">
    <w:name w:val="List Paragraph"/>
    <w:aliases w:val="body,Odsek zoznamu2,Colorful List - Accent 11,List Paragraph,Lettre d'introduction,Paragrafo elenco,1st level - Bullet List Paragraph,Odsek,List Paragraph1,List Paragraph (numbered (a)),List Paragraph11,Medium Grid 1 - Accent 21,Bullet lis"/>
    <w:basedOn w:val="Normlny"/>
    <w:link w:val="OdsekzoznamuChar"/>
    <w:uiPriority w:val="34"/>
    <w:qFormat/>
    <w:rsid w:val="00A23565"/>
    <w:pPr>
      <w:ind w:left="720"/>
      <w:contextualSpacing/>
    </w:pPr>
  </w:style>
  <w:style w:type="character" w:styleId="Hypertextovprepojenie">
    <w:name w:val="Hyperlink"/>
    <w:basedOn w:val="Predvolenpsmoodseku"/>
    <w:uiPriority w:val="99"/>
    <w:unhideWhenUsed/>
    <w:rsid w:val="00A23565"/>
    <w:rPr>
      <w:color w:val="0563C1" w:themeColor="hyperlink"/>
      <w:u w:val="single"/>
    </w:rPr>
  </w:style>
  <w:style w:type="character" w:customStyle="1" w:styleId="Nadpis2Char">
    <w:name w:val="Nadpis 2 Char"/>
    <w:basedOn w:val="Predvolenpsmoodseku"/>
    <w:link w:val="Nadpis2"/>
    <w:uiPriority w:val="99"/>
    <w:rsid w:val="00B42640"/>
    <w:rPr>
      <w:rFonts w:ascii="Arial Narrow" w:eastAsia="Times New Roman" w:hAnsi="Arial Narrow" w:cstheme="minorHAnsi"/>
      <w:b/>
      <w:bCs/>
      <w:color w:val="4A81BD"/>
      <w:sz w:val="28"/>
      <w:szCs w:val="24"/>
      <w:lang w:eastAsia="sk-SK"/>
    </w:rPr>
  </w:style>
  <w:style w:type="character" w:customStyle="1" w:styleId="Nadpis3Char">
    <w:name w:val="Nadpis 3 Char"/>
    <w:basedOn w:val="Predvolenpsmoodseku"/>
    <w:link w:val="Nadpis3"/>
    <w:uiPriority w:val="99"/>
    <w:rsid w:val="00B42640"/>
    <w:rPr>
      <w:rFonts w:ascii="Arial Narrow" w:eastAsia="Times New Roman" w:hAnsi="Arial Narrow" w:cs="Arial"/>
      <w:b/>
      <w:color w:val="1F497D"/>
      <w:sz w:val="24"/>
      <w:szCs w:val="24"/>
    </w:rPr>
  </w:style>
  <w:style w:type="character" w:customStyle="1" w:styleId="Nadpis4Char">
    <w:name w:val="Nadpis 4 Char"/>
    <w:basedOn w:val="Predvolenpsmoodseku"/>
    <w:link w:val="Nadpis4"/>
    <w:uiPriority w:val="99"/>
    <w:rsid w:val="00B42640"/>
    <w:rPr>
      <w:rFonts w:ascii="Arial Narrow" w:eastAsia="Times New Roman" w:hAnsi="Arial Narrow" w:cs="Arial"/>
      <w:b/>
      <w:color w:val="1F497D"/>
      <w:sz w:val="24"/>
      <w:szCs w:val="24"/>
    </w:rPr>
  </w:style>
  <w:style w:type="table" w:styleId="Mriekatabuky">
    <w:name w:val="Table Grid"/>
    <w:basedOn w:val="Normlnatabuka"/>
    <w:uiPriority w:val="59"/>
    <w:rsid w:val="00B42640"/>
    <w:pPr>
      <w:spacing w:after="0" w:line="240" w:lineRule="auto"/>
      <w:ind w:left="1080"/>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rsid w:val="00B42640"/>
    <w:rPr>
      <w:rFonts w:cs="Times New Roman"/>
      <w:sz w:val="16"/>
      <w:szCs w:val="16"/>
    </w:rPr>
  </w:style>
  <w:style w:type="paragraph" w:styleId="Textkomentra">
    <w:name w:val="annotation text"/>
    <w:basedOn w:val="Normlny"/>
    <w:link w:val="TextkomentraChar"/>
    <w:uiPriority w:val="99"/>
    <w:qFormat/>
    <w:rsid w:val="00B42640"/>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uiPriority w:val="99"/>
    <w:qFormat/>
    <w:rsid w:val="00B42640"/>
    <w:rPr>
      <w:rFonts w:ascii="Times New Roman" w:eastAsia="Times New Roman" w:hAnsi="Times New Roman" w:cs="Times New Roman"/>
      <w:sz w:val="20"/>
      <w:szCs w:val="20"/>
      <w:lang w:eastAsia="sk-SK"/>
    </w:rPr>
  </w:style>
  <w:style w:type="character" w:customStyle="1" w:styleId="longtext1">
    <w:name w:val="long_text1"/>
    <w:basedOn w:val="Predvolenpsmoodseku"/>
    <w:rsid w:val="00B42640"/>
    <w:rPr>
      <w:rFonts w:cs="Times New Roman"/>
      <w:sz w:val="20"/>
      <w:szCs w:val="20"/>
    </w:rPr>
  </w:style>
  <w:style w:type="paragraph" w:styleId="Popis">
    <w:name w:val="caption"/>
    <w:basedOn w:val="Normlny"/>
    <w:next w:val="Normlny"/>
    <w:uiPriority w:val="35"/>
    <w:qFormat/>
    <w:rsid w:val="00B42640"/>
    <w:pPr>
      <w:spacing w:after="200" w:line="240" w:lineRule="auto"/>
    </w:pPr>
    <w:rPr>
      <w:rFonts w:ascii="Times New Roman" w:eastAsia="Times New Roman" w:hAnsi="Times New Roman" w:cs="Times New Roman"/>
      <w:b/>
      <w:bCs/>
      <w:color w:val="4F81BD"/>
      <w:sz w:val="18"/>
      <w:szCs w:val="18"/>
      <w:lang w:eastAsia="sk-SK"/>
    </w:rPr>
  </w:style>
  <w:style w:type="paragraph" w:customStyle="1" w:styleId="AOHead4">
    <w:name w:val="AOHead4"/>
    <w:basedOn w:val="Normlny"/>
    <w:next w:val="Normlny"/>
    <w:rsid w:val="00B42640"/>
    <w:pPr>
      <w:numPr>
        <w:numId w:val="21"/>
      </w:numPr>
      <w:tabs>
        <w:tab w:val="clear" w:pos="720"/>
        <w:tab w:val="num" w:pos="2160"/>
      </w:tabs>
      <w:spacing w:before="240" w:after="0" w:line="260" w:lineRule="atLeast"/>
      <w:ind w:left="2160"/>
      <w:jc w:val="both"/>
      <w:outlineLvl w:val="3"/>
    </w:pPr>
    <w:rPr>
      <w:rFonts w:ascii="Times New Roman" w:eastAsia="SimSun" w:hAnsi="Times New Roman" w:cs="Times New Roman"/>
    </w:rPr>
  </w:style>
  <w:style w:type="paragraph" w:customStyle="1" w:styleId="AOHead5">
    <w:name w:val="AOHead5"/>
    <w:basedOn w:val="Normlny"/>
    <w:next w:val="Normlny"/>
    <w:rsid w:val="00B42640"/>
    <w:pPr>
      <w:numPr>
        <w:ilvl w:val="1"/>
        <w:numId w:val="21"/>
      </w:numPr>
      <w:spacing w:before="240" w:after="0" w:line="260" w:lineRule="atLeast"/>
      <w:jc w:val="both"/>
      <w:outlineLvl w:val="4"/>
    </w:pPr>
    <w:rPr>
      <w:rFonts w:ascii="Times New Roman" w:eastAsia="SimSun" w:hAnsi="Times New Roman" w:cs="Times New Roman"/>
    </w:rPr>
  </w:style>
  <w:style w:type="paragraph" w:customStyle="1" w:styleId="AOHead6">
    <w:name w:val="AOHead6"/>
    <w:basedOn w:val="Normlny"/>
    <w:next w:val="Normlny"/>
    <w:rsid w:val="00B42640"/>
    <w:pPr>
      <w:numPr>
        <w:ilvl w:val="2"/>
        <w:numId w:val="21"/>
      </w:numPr>
      <w:tabs>
        <w:tab w:val="clear" w:pos="1440"/>
        <w:tab w:val="num" w:pos="3600"/>
      </w:tabs>
      <w:spacing w:before="240" w:after="0" w:line="260" w:lineRule="atLeast"/>
      <w:ind w:left="3600"/>
      <w:jc w:val="both"/>
      <w:outlineLvl w:val="5"/>
    </w:pPr>
    <w:rPr>
      <w:rFonts w:ascii="Times New Roman" w:eastAsia="SimSun" w:hAnsi="Times New Roman" w:cs="Times New Roman"/>
    </w:rPr>
  </w:style>
  <w:style w:type="paragraph" w:customStyle="1" w:styleId="AOAltHead2">
    <w:name w:val="AOAltHead2"/>
    <w:basedOn w:val="Normlny"/>
    <w:next w:val="Normlny"/>
    <w:uiPriority w:val="99"/>
    <w:rsid w:val="00B42640"/>
    <w:pPr>
      <w:numPr>
        <w:ilvl w:val="3"/>
        <w:numId w:val="21"/>
      </w:numPr>
      <w:spacing w:before="240" w:after="0" w:line="260" w:lineRule="atLeast"/>
      <w:ind w:left="720"/>
      <w:jc w:val="both"/>
      <w:outlineLvl w:val="1"/>
    </w:pPr>
    <w:rPr>
      <w:rFonts w:ascii="Times New Roman" w:eastAsia="SimSun" w:hAnsi="Times New Roman" w:cs="Times New Roman"/>
    </w:rPr>
  </w:style>
  <w:style w:type="paragraph" w:customStyle="1" w:styleId="AODefPara">
    <w:name w:val="AODefPara"/>
    <w:basedOn w:val="AODefHead"/>
    <w:rsid w:val="00B42640"/>
    <w:pPr>
      <w:numPr>
        <w:ilvl w:val="5"/>
      </w:numPr>
      <w:ind w:left="720" w:firstLine="0"/>
      <w:outlineLvl w:val="6"/>
    </w:pPr>
  </w:style>
  <w:style w:type="paragraph" w:customStyle="1" w:styleId="AODefHead">
    <w:name w:val="AODefHead"/>
    <w:basedOn w:val="Normlny"/>
    <w:next w:val="AODefPara"/>
    <w:rsid w:val="00B42640"/>
    <w:pPr>
      <w:numPr>
        <w:ilvl w:val="4"/>
        <w:numId w:val="21"/>
      </w:numPr>
      <w:spacing w:before="240" w:after="0" w:line="260" w:lineRule="atLeast"/>
      <w:ind w:left="720" w:firstLine="0"/>
      <w:jc w:val="both"/>
      <w:outlineLvl w:val="5"/>
    </w:pPr>
    <w:rPr>
      <w:rFonts w:ascii="Times New Roman" w:eastAsia="SimSun" w:hAnsi="Times New Roman" w:cs="Times New Roman"/>
    </w:rPr>
  </w:style>
  <w:style w:type="character" w:customStyle="1" w:styleId="hps">
    <w:name w:val="hps"/>
    <w:rsid w:val="00B42640"/>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List Paragraph1 Char,List Paragraph11 Char"/>
    <w:link w:val="Odsekzoznamu"/>
    <w:uiPriority w:val="34"/>
    <w:qFormat/>
    <w:rsid w:val="00B42640"/>
  </w:style>
  <w:style w:type="paragraph" w:customStyle="1" w:styleId="Char2">
    <w:name w:val="Char2"/>
    <w:basedOn w:val="Normlny"/>
    <w:link w:val="Odkaznapoznmkupodiarou"/>
    <w:uiPriority w:val="99"/>
    <w:rsid w:val="00B42640"/>
    <w:pPr>
      <w:spacing w:line="240" w:lineRule="exact"/>
    </w:pPr>
    <w:rPr>
      <w:vertAlign w:val="superscript"/>
    </w:rPr>
  </w:style>
  <w:style w:type="table" w:customStyle="1" w:styleId="Svetlzoznamzvraznenie31">
    <w:name w:val="Svetlý zoznam – zvýraznenie 31"/>
    <w:basedOn w:val="Normlnatabuka"/>
    <w:next w:val="Svetlzoznamzvraznenie3"/>
    <w:uiPriority w:val="61"/>
    <w:rsid w:val="00B42640"/>
    <w:pPr>
      <w:spacing w:after="0" w:line="240" w:lineRule="auto"/>
    </w:pPr>
    <w:rPr>
      <w:rFonts w:ascii="Calibri" w:eastAsia="Times New Roman" w:hAnsi="Calibri" w:cs="Calibri"/>
      <w:lang w:eastAsia="sk-SK"/>
    </w:rPr>
    <w:tblPr>
      <w:tblStyleRowBandSize w:val="1"/>
      <w:tblStyleColBandSize w:val="1"/>
      <w:tblBorders>
        <w:top w:val="single" w:sz="8" w:space="0" w:color="00A1DE"/>
        <w:left w:val="single" w:sz="8" w:space="0" w:color="00A1DE"/>
        <w:bottom w:val="single" w:sz="8" w:space="0" w:color="00A1DE"/>
        <w:right w:val="single" w:sz="8" w:space="0" w:color="00A1DE"/>
      </w:tblBorders>
    </w:tblPr>
    <w:tblStylePr w:type="firstRow">
      <w:pPr>
        <w:spacing w:before="0" w:after="0" w:line="240" w:lineRule="auto"/>
      </w:pPr>
      <w:rPr>
        <w:b/>
        <w:bCs/>
        <w:color w:val="FFFFFF"/>
      </w:rPr>
      <w:tblPr/>
      <w:tcPr>
        <w:shd w:val="clear" w:color="auto" w:fill="00A1DE"/>
      </w:tcPr>
    </w:tblStylePr>
    <w:tblStylePr w:type="lastRow">
      <w:pPr>
        <w:spacing w:before="0" w:after="0" w:line="240" w:lineRule="auto"/>
      </w:pPr>
      <w:rPr>
        <w:b/>
        <w:bCs/>
      </w:rPr>
      <w:tblPr/>
      <w:tcPr>
        <w:tcBorders>
          <w:top w:val="double" w:sz="6" w:space="0" w:color="00A1DE"/>
          <w:left w:val="single" w:sz="8" w:space="0" w:color="00A1DE"/>
          <w:bottom w:val="single" w:sz="8" w:space="0" w:color="00A1DE"/>
          <w:right w:val="single" w:sz="8" w:space="0" w:color="00A1DE"/>
        </w:tcBorders>
      </w:tcPr>
    </w:tblStylePr>
    <w:tblStylePr w:type="firstCol">
      <w:rPr>
        <w:b/>
        <w:bCs/>
      </w:rPr>
    </w:tblStylePr>
    <w:tblStylePr w:type="lastCol">
      <w:rPr>
        <w:b/>
        <w:bCs/>
      </w:rPr>
    </w:tblStylePr>
    <w:tblStylePr w:type="band1Vert">
      <w:tblPr/>
      <w:tcPr>
        <w:tcBorders>
          <w:top w:val="single" w:sz="8" w:space="0" w:color="00A1DE"/>
          <w:left w:val="single" w:sz="8" w:space="0" w:color="00A1DE"/>
          <w:bottom w:val="single" w:sz="8" w:space="0" w:color="00A1DE"/>
          <w:right w:val="single" w:sz="8" w:space="0" w:color="00A1DE"/>
        </w:tcBorders>
      </w:tcPr>
    </w:tblStylePr>
    <w:tblStylePr w:type="band1Horz">
      <w:tblPr/>
      <w:tcPr>
        <w:tcBorders>
          <w:top w:val="single" w:sz="8" w:space="0" w:color="00A1DE"/>
          <w:left w:val="single" w:sz="8" w:space="0" w:color="00A1DE"/>
          <w:bottom w:val="single" w:sz="8" w:space="0" w:color="00A1DE"/>
          <w:right w:val="single" w:sz="8" w:space="0" w:color="00A1DE"/>
        </w:tcBorders>
      </w:tcPr>
    </w:tblStylePr>
  </w:style>
  <w:style w:type="table" w:styleId="Svetlzoznamzvraznenie3">
    <w:name w:val="Light List Accent 3"/>
    <w:basedOn w:val="Normlnatabuka"/>
    <w:uiPriority w:val="61"/>
    <w:semiHidden/>
    <w:unhideWhenUsed/>
    <w:rsid w:val="00B42640"/>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Textbubliny">
    <w:name w:val="Balloon Text"/>
    <w:basedOn w:val="Normlny"/>
    <w:link w:val="TextbublinyChar"/>
    <w:uiPriority w:val="99"/>
    <w:semiHidden/>
    <w:unhideWhenUsed/>
    <w:rsid w:val="00B4264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42640"/>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C85222"/>
    <w:pPr>
      <w:spacing w:after="16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C85222"/>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56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dop.sk/ministerstvo-1/doprava-3/rezortne-metodiky/metodika-pre-vypracovanie-cb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ndop.sk/ministerstvo-1/doprava-3/rezortne-metodiky/metodika-pre-vypracovanie-cb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ndop.sk/ministerstvo-1/doprava-3/rezortne-metodiky/metodika-pre-vypracovanie-cb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8475C-2712-4E69-A028-65314EFAF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15</Pages>
  <Words>5920</Words>
  <Characters>33747</Characters>
  <Application>Microsoft Office Word</Application>
  <DocSecurity>0</DocSecurity>
  <Lines>281</Lines>
  <Paragraphs>79</Paragraphs>
  <ScaleCrop>false</ScaleCrop>
  <HeadingPairs>
    <vt:vector size="2" baseType="variant">
      <vt:variant>
        <vt:lpstr>Názov</vt:lpstr>
      </vt:variant>
      <vt:variant>
        <vt:i4>1</vt:i4>
      </vt:variant>
    </vt:vector>
  </HeadingPairs>
  <TitlesOfParts>
    <vt:vector size="1" baseType="lpstr">
      <vt:lpstr/>
    </vt:vector>
  </TitlesOfParts>
  <Company>MDVSR</Company>
  <LinksUpToDate>false</LinksUpToDate>
  <CharactersWithSpaces>39588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dc:creator>
  <cp:keywords/>
  <dc:description/>
  <cp:lastModifiedBy>KH</cp:lastModifiedBy>
  <cp:revision>41</cp:revision>
  <dcterms:created xsi:type="dcterms:W3CDTF">2024-04-09T09:20:00Z</dcterms:created>
  <dcterms:modified xsi:type="dcterms:W3CDTF">2024-12-06T11:19:00Z</dcterms:modified>
</cp:coreProperties>
</file>