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F4" w:rsidRDefault="005C582B">
      <w:pPr>
        <w:jc w:val="right"/>
        <w:rPr>
          <w:sz w:val="22"/>
          <w:szCs w:val="22"/>
        </w:rPr>
      </w:pPr>
      <w:r w:rsidRPr="00D61E6F">
        <w:t xml:space="preserve">Príloha č. </w:t>
      </w:r>
      <w:r w:rsidR="00DD7C9D" w:rsidRPr="006C5A3E">
        <w:t>1</w:t>
      </w:r>
      <w:r w:rsidR="00DD7C9D">
        <w:t>1</w:t>
      </w:r>
      <w:r w:rsidR="00DD7C9D" w:rsidRPr="006C5A3E">
        <w:t xml:space="preserve"> </w:t>
      </w:r>
      <w:r w:rsidR="00946BFE" w:rsidRPr="006C5A3E">
        <w:t xml:space="preserve">– </w:t>
      </w:r>
      <w:r w:rsidR="00D27BCB">
        <w:rPr>
          <w:sz w:val="22"/>
          <w:szCs w:val="22"/>
        </w:rPr>
        <w:t>Indikatívne parametre modernizácie</w:t>
      </w:r>
    </w:p>
    <w:p w:rsidR="008D3FEE" w:rsidRDefault="008D3FEE">
      <w:pPr>
        <w:jc w:val="right"/>
        <w:rPr>
          <w:sz w:val="22"/>
          <w:szCs w:val="22"/>
        </w:rPr>
      </w:pPr>
    </w:p>
    <w:p w:rsidR="008D3FEE" w:rsidRDefault="008D3FEE">
      <w:pPr>
        <w:jc w:val="right"/>
        <w:rPr>
          <w:sz w:val="22"/>
          <w:szCs w:val="22"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432"/>
        <w:gridCol w:w="6868"/>
        <w:gridCol w:w="2862"/>
        <w:gridCol w:w="3434"/>
      </w:tblGrid>
      <w:tr w:rsidR="007D3EC7" w:rsidTr="0048508D">
        <w:tc>
          <w:tcPr>
            <w:tcW w:w="14596" w:type="dxa"/>
            <w:gridSpan w:val="4"/>
          </w:tcPr>
          <w:p w:rsidR="007D3EC7" w:rsidRDefault="007D3EC7" w:rsidP="008D3FEE">
            <w:pPr>
              <w:jc w:val="center"/>
              <w:rPr>
                <w:sz w:val="22"/>
                <w:szCs w:val="22"/>
              </w:rPr>
            </w:pPr>
            <w:r w:rsidRPr="008D3FEE">
              <w:rPr>
                <w:b/>
                <w:i/>
                <w:sz w:val="22"/>
                <w:szCs w:val="22"/>
              </w:rPr>
              <w:t>Vozidlá určené pre prepravu cestujúcej verejnosti</w:t>
            </w:r>
          </w:p>
        </w:tc>
      </w:tr>
      <w:tr w:rsidR="008D3FEE" w:rsidTr="007D3EC7">
        <w:tc>
          <w:tcPr>
            <w:tcW w:w="1432" w:type="dxa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B827A0">
              <w:rPr>
                <w:b/>
                <w:sz w:val="22"/>
                <w:szCs w:val="22"/>
              </w:rPr>
              <w:t>Prvok</w:t>
            </w:r>
          </w:p>
        </w:tc>
        <w:tc>
          <w:tcPr>
            <w:tcW w:w="6868" w:type="dxa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B827A0">
              <w:rPr>
                <w:b/>
                <w:sz w:val="22"/>
                <w:szCs w:val="22"/>
              </w:rPr>
              <w:t>Úkon</w:t>
            </w:r>
          </w:p>
        </w:tc>
        <w:tc>
          <w:tcPr>
            <w:tcW w:w="2862" w:type="dxa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B827A0">
              <w:rPr>
                <w:b/>
                <w:sz w:val="22"/>
                <w:szCs w:val="22"/>
              </w:rPr>
              <w:t>Vek vozidla</w:t>
            </w:r>
          </w:p>
        </w:tc>
        <w:tc>
          <w:tcPr>
            <w:tcW w:w="3434" w:type="dxa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B827A0">
              <w:rPr>
                <w:b/>
                <w:sz w:val="22"/>
                <w:szCs w:val="22"/>
              </w:rPr>
              <w:t>Uplatňuje sa, ak:</w:t>
            </w:r>
          </w:p>
        </w:tc>
      </w:tr>
      <w:tr w:rsidR="008D3FEE" w:rsidTr="007D3EC7">
        <w:tc>
          <w:tcPr>
            <w:tcW w:w="1432" w:type="dxa"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Vozidlo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Komplexná rekonštrukcia vozidla zahrňujúca úplnú výmenu interiéru, osadenie nových uzatvorených WC, nových auto alebo poloautomaticky otvárateľných dverí umožňujúcich centrálne uzatvorenie nástupných dverí, osadenie informačných prvkov, vzduchotechniky a klimatizácie, výmena elektrickej inštalácie a vykurovania, zariadení pre cestujúcich s obmedzenou schopnosťou pohybu, výmena podvozkov, nová povrchová úprava exteriéru vozidla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Počíta sa od roku rekonštrukcie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realizácie komplexnej rekonštrukcie</w:t>
            </w:r>
          </w:p>
        </w:tc>
      </w:tr>
      <w:tr w:rsidR="008D3FEE" w:rsidTr="007D3EC7">
        <w:tc>
          <w:tcPr>
            <w:tcW w:w="1432" w:type="dxa"/>
            <w:vMerge w:val="restart"/>
            <w:vAlign w:val="center"/>
          </w:tcPr>
          <w:p w:rsidR="008D3FEE" w:rsidRDefault="008D3FEE" w:rsidP="00BC1E0D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Sedadlo</w:t>
            </w:r>
            <w:bookmarkStart w:id="0" w:name="_GoBack"/>
            <w:bookmarkEnd w:id="0"/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sedadiel za nové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3 roky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2018 a neskôr</w:t>
            </w: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Prečalúnenie sedadiel</w:t>
            </w:r>
          </w:p>
        </w:tc>
        <w:tc>
          <w:tcPr>
            <w:tcW w:w="2862" w:type="dxa"/>
            <w:vMerge w:val="restart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1 rok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2019 a neskôr</w:t>
            </w:r>
          </w:p>
        </w:tc>
      </w:tr>
      <w:tr w:rsidR="008D3FEE" w:rsidTr="007D3EC7">
        <w:tc>
          <w:tcPr>
            <w:tcW w:w="1432" w:type="dxa"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Okno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okien</w:t>
            </w:r>
          </w:p>
        </w:tc>
        <w:tc>
          <w:tcPr>
            <w:tcW w:w="2862" w:type="dxa"/>
            <w:vMerge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8D3FEE" w:rsidTr="007D3EC7">
        <w:tc>
          <w:tcPr>
            <w:tcW w:w="1432" w:type="dxa"/>
            <w:vMerge w:val="restart"/>
            <w:vAlign w:val="center"/>
          </w:tcPr>
          <w:p w:rsidR="008D3FEE" w:rsidRDefault="008D3FEE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Tepelná pohoda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Inštalácia klimatizácie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4 roky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vykurovacieho ústrojenstva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7D3EC7" w:rsidTr="007D3EC7">
        <w:tc>
          <w:tcPr>
            <w:tcW w:w="1432" w:type="dxa"/>
            <w:vMerge w:val="restart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WC</w:t>
            </w:r>
          </w:p>
        </w:tc>
        <w:tc>
          <w:tcPr>
            <w:tcW w:w="6868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Komplexná výmena zariadenia WC vrátane inštalácie vákuovej toalety</w:t>
            </w:r>
          </w:p>
        </w:tc>
        <w:tc>
          <w:tcPr>
            <w:tcW w:w="2862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5 rokov</w:t>
            </w:r>
          </w:p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7D3EC7" w:rsidTr="007D3EC7">
        <w:tc>
          <w:tcPr>
            <w:tcW w:w="1432" w:type="dxa"/>
            <w:vMerge/>
            <w:vAlign w:val="center"/>
          </w:tcPr>
          <w:p w:rsidR="007D3EC7" w:rsidRDefault="007D3EC7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Inštalácia vákuovej toalety</w:t>
            </w:r>
          </w:p>
        </w:tc>
        <w:tc>
          <w:tcPr>
            <w:tcW w:w="2862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inštalácie</w:t>
            </w:r>
          </w:p>
        </w:tc>
      </w:tr>
      <w:tr w:rsidR="008D3FEE" w:rsidTr="007D3EC7">
        <w:tc>
          <w:tcPr>
            <w:tcW w:w="1432" w:type="dxa"/>
            <w:vMerge w:val="restart"/>
            <w:vAlign w:val="center"/>
          </w:tcPr>
          <w:p w:rsidR="008D3FEE" w:rsidRDefault="008D3FEE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Dvere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Inštalácia auto alebo poloautomaticky otvárateľných dverí v interiéri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4" w:type="dxa"/>
            <w:vMerge w:val="restart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Inštalácia poloautomaticky otvárateľných nástupných dverí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4 roky</w:t>
            </w:r>
          </w:p>
        </w:tc>
        <w:tc>
          <w:tcPr>
            <w:tcW w:w="3434" w:type="dxa"/>
            <w:vMerge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</w:p>
        </w:tc>
      </w:tr>
      <w:tr w:rsidR="007D3EC7" w:rsidTr="007D3EC7">
        <w:tc>
          <w:tcPr>
            <w:tcW w:w="1432" w:type="dxa"/>
            <w:vAlign w:val="center"/>
          </w:tcPr>
          <w:p w:rsidR="007D3EC7" w:rsidRDefault="007D3EC7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Podlaha</w:t>
            </w:r>
          </w:p>
        </w:tc>
        <w:tc>
          <w:tcPr>
            <w:tcW w:w="6868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nášľapnej vrstvy podlahy</w:t>
            </w:r>
          </w:p>
        </w:tc>
        <w:tc>
          <w:tcPr>
            <w:tcW w:w="2862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1 rok</w:t>
            </w:r>
          </w:p>
        </w:tc>
        <w:tc>
          <w:tcPr>
            <w:tcW w:w="3434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2018 a neskôr</w:t>
            </w:r>
          </w:p>
        </w:tc>
      </w:tr>
      <w:tr w:rsidR="007D3EC7" w:rsidTr="007D3EC7">
        <w:tc>
          <w:tcPr>
            <w:tcW w:w="1432" w:type="dxa"/>
            <w:vAlign w:val="center"/>
          </w:tcPr>
          <w:p w:rsidR="007D3EC7" w:rsidRDefault="007D3EC7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Osvetlenie</w:t>
            </w:r>
          </w:p>
        </w:tc>
        <w:tc>
          <w:tcPr>
            <w:tcW w:w="6868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osvetlenia na automatické prevedenie (svietenie – tlmenie)</w:t>
            </w:r>
          </w:p>
        </w:tc>
        <w:tc>
          <w:tcPr>
            <w:tcW w:w="2862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8D3FEE" w:rsidTr="007D3EC7">
        <w:tc>
          <w:tcPr>
            <w:tcW w:w="1432" w:type="dxa"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Elektrická inštalácia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elektrickej inštalácie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8D3FEE" w:rsidTr="007D3EC7">
        <w:tc>
          <w:tcPr>
            <w:tcW w:w="1432" w:type="dxa"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Náter/polep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Povrchová úprava exteriéru vozidla novým náterom resp. celoplošnou fóliou, s odstránením hrdze a prasklín na skrini vozňa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1 rok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2019 a neskôr</w:t>
            </w:r>
          </w:p>
        </w:tc>
      </w:tr>
      <w:tr w:rsidR="008D3FEE" w:rsidTr="007D3EC7">
        <w:tc>
          <w:tcPr>
            <w:tcW w:w="1432" w:type="dxa"/>
            <w:vMerge w:val="restart"/>
            <w:vAlign w:val="center"/>
          </w:tcPr>
          <w:p w:rsidR="008D3FEE" w:rsidRDefault="008D3FEE" w:rsidP="00BC1E0D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Podvozok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podvozkov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5 rokov</w:t>
            </w:r>
          </w:p>
        </w:tc>
        <w:tc>
          <w:tcPr>
            <w:tcW w:w="3434" w:type="dxa"/>
            <w:vMerge w:val="restart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výmeny</w:t>
            </w: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vypruženia podvozkov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4" w:type="dxa"/>
            <w:vMerge/>
            <w:vAlign w:val="center"/>
          </w:tcPr>
          <w:p w:rsidR="008D3FEE" w:rsidRDefault="008D3FEE" w:rsidP="007D3EC7">
            <w:pPr>
              <w:jc w:val="both"/>
              <w:rPr>
                <w:sz w:val="22"/>
                <w:szCs w:val="22"/>
              </w:rPr>
            </w:pP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ťahadlového ústrojenstva</w:t>
            </w:r>
          </w:p>
        </w:tc>
        <w:tc>
          <w:tcPr>
            <w:tcW w:w="2862" w:type="dxa"/>
            <w:vMerge w:val="restart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0,5 roka</w:t>
            </w:r>
          </w:p>
        </w:tc>
        <w:tc>
          <w:tcPr>
            <w:tcW w:w="3434" w:type="dxa"/>
            <w:vMerge w:val="restart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8D3FEE" w:rsidTr="007D3EC7">
        <w:tc>
          <w:tcPr>
            <w:tcW w:w="1432" w:type="dxa"/>
            <w:vMerge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narážacieho ústrojenstva</w:t>
            </w:r>
          </w:p>
        </w:tc>
        <w:tc>
          <w:tcPr>
            <w:tcW w:w="2862" w:type="dxa"/>
            <w:vMerge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</w:p>
        </w:tc>
        <w:tc>
          <w:tcPr>
            <w:tcW w:w="3434" w:type="dxa"/>
            <w:vMerge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</w:p>
        </w:tc>
      </w:tr>
      <w:tr w:rsidR="008D3FEE" w:rsidTr="007D3EC7">
        <w:tc>
          <w:tcPr>
            <w:tcW w:w="1432" w:type="dxa"/>
            <w:vAlign w:val="center"/>
          </w:tcPr>
          <w:p w:rsidR="008D3FEE" w:rsidRDefault="008D3FEE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Brzda</w:t>
            </w:r>
          </w:p>
        </w:tc>
        <w:tc>
          <w:tcPr>
            <w:tcW w:w="6868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 xml:space="preserve">Zámena </w:t>
            </w:r>
            <w:proofErr w:type="spellStart"/>
            <w:r w:rsidRPr="00E265D2">
              <w:rPr>
                <w:sz w:val="22"/>
                <w:szCs w:val="22"/>
              </w:rPr>
              <w:t>klátikovej</w:t>
            </w:r>
            <w:proofErr w:type="spellEnd"/>
            <w:r w:rsidRPr="00E265D2">
              <w:rPr>
                <w:sz w:val="22"/>
                <w:szCs w:val="22"/>
              </w:rPr>
              <w:t xml:space="preserve"> brzdy za kotúčovú</w:t>
            </w:r>
          </w:p>
        </w:tc>
        <w:tc>
          <w:tcPr>
            <w:tcW w:w="2862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4 roky</w:t>
            </w:r>
          </w:p>
        </w:tc>
        <w:tc>
          <w:tcPr>
            <w:tcW w:w="3434" w:type="dxa"/>
            <w:vAlign w:val="center"/>
          </w:tcPr>
          <w:p w:rsidR="008D3FEE" w:rsidRDefault="008D3FEE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zámeny</w:t>
            </w:r>
          </w:p>
        </w:tc>
      </w:tr>
    </w:tbl>
    <w:p w:rsidR="007D3EC7" w:rsidRDefault="007D3EC7" w:rsidP="008D3FEE">
      <w:pPr>
        <w:tabs>
          <w:tab w:val="left" w:pos="1545"/>
          <w:tab w:val="left" w:pos="8413"/>
          <w:tab w:val="left" w:pos="11275"/>
        </w:tabs>
        <w:ind w:left="11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D3EC7" w:rsidRDefault="007D3EC7" w:rsidP="008D3FEE">
      <w:pPr>
        <w:tabs>
          <w:tab w:val="left" w:pos="1545"/>
          <w:tab w:val="left" w:pos="8413"/>
          <w:tab w:val="left" w:pos="11275"/>
        </w:tabs>
        <w:ind w:left="113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Mriekatabuky"/>
        <w:tblW w:w="14552" w:type="dxa"/>
        <w:tblLook w:val="04A0" w:firstRow="1" w:lastRow="0" w:firstColumn="1" w:lastColumn="0" w:noHBand="0" w:noVBand="1"/>
      </w:tblPr>
      <w:tblGrid>
        <w:gridCol w:w="1432"/>
        <w:gridCol w:w="6643"/>
        <w:gridCol w:w="3035"/>
        <w:gridCol w:w="3435"/>
        <w:gridCol w:w="7"/>
      </w:tblGrid>
      <w:tr w:rsidR="007D3EC7" w:rsidTr="007D3EC7">
        <w:tc>
          <w:tcPr>
            <w:tcW w:w="14552" w:type="dxa"/>
            <w:gridSpan w:val="5"/>
          </w:tcPr>
          <w:p w:rsidR="007D3EC7" w:rsidRDefault="007D3EC7" w:rsidP="008D3FEE">
            <w:pPr>
              <w:jc w:val="center"/>
              <w:rPr>
                <w:sz w:val="22"/>
                <w:szCs w:val="22"/>
              </w:rPr>
            </w:pPr>
            <w:r w:rsidRPr="00E265D2">
              <w:rPr>
                <w:b/>
                <w:i/>
                <w:sz w:val="22"/>
                <w:szCs w:val="22"/>
              </w:rPr>
              <w:t>Samostatné hnacie vozidlá</w:t>
            </w:r>
          </w:p>
        </w:tc>
      </w:tr>
      <w:tr w:rsidR="007D3EC7" w:rsidTr="007D3EC7">
        <w:trPr>
          <w:gridAfter w:val="1"/>
          <w:wAfter w:w="7" w:type="dxa"/>
        </w:trPr>
        <w:tc>
          <w:tcPr>
            <w:tcW w:w="1432" w:type="dxa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b/>
                <w:sz w:val="22"/>
                <w:szCs w:val="22"/>
              </w:rPr>
              <w:t>Prvok</w:t>
            </w:r>
          </w:p>
        </w:tc>
        <w:tc>
          <w:tcPr>
            <w:tcW w:w="6643" w:type="dxa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b/>
                <w:sz w:val="22"/>
                <w:szCs w:val="22"/>
              </w:rPr>
              <w:t>Úkon</w:t>
            </w:r>
          </w:p>
        </w:tc>
        <w:tc>
          <w:tcPr>
            <w:tcW w:w="3035" w:type="dxa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b/>
                <w:sz w:val="22"/>
                <w:szCs w:val="22"/>
              </w:rPr>
              <w:t>Vek vozidla</w:t>
            </w:r>
          </w:p>
        </w:tc>
        <w:tc>
          <w:tcPr>
            <w:tcW w:w="3435" w:type="dxa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b/>
                <w:sz w:val="22"/>
                <w:szCs w:val="22"/>
              </w:rPr>
              <w:t>Uplatňuje sa, ak:</w:t>
            </w:r>
          </w:p>
        </w:tc>
      </w:tr>
      <w:tr w:rsidR="007D3EC7" w:rsidTr="007D3EC7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Vozidlo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Komplexná rekonštrukcia vozidla zahrňujúca úplnú výmenu interiéru, riadiacich prvkov, trakčného motora,  prevodovky, kompresorov, osvetľovacích zariadení, návestných svetiel, inštaláciu klimatizácie, výmenu podvozkov, ťahadlového a narážacieho ústrojenstva, novú povrchová úpravu exteriéru vozidla</w:t>
            </w:r>
          </w:p>
        </w:tc>
        <w:tc>
          <w:tcPr>
            <w:tcW w:w="30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Počíta sa od roku rekonštrukcie</w:t>
            </w: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realizácie komplexnej rekonštrukcie</w:t>
            </w:r>
          </w:p>
        </w:tc>
      </w:tr>
      <w:tr w:rsidR="007D3EC7" w:rsidTr="007D3EC7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Motor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trakčného motora za nový</w:t>
            </w:r>
          </w:p>
        </w:tc>
        <w:tc>
          <w:tcPr>
            <w:tcW w:w="30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5 rokov</w:t>
            </w: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7D3EC7" w:rsidTr="00430589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Prevodovky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prevodovky</w:t>
            </w:r>
          </w:p>
        </w:tc>
        <w:tc>
          <w:tcPr>
            <w:tcW w:w="3035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3 roky</w:t>
            </w: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7D3EC7" w:rsidTr="00430589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Riadenie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riadiaceho panela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7D3EC7" w:rsidTr="004B0FB5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Dvere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Inštalácia centrálneho otvárania dverí</w:t>
            </w:r>
          </w:p>
        </w:tc>
        <w:tc>
          <w:tcPr>
            <w:tcW w:w="3035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zámeny</w:t>
            </w:r>
          </w:p>
        </w:tc>
      </w:tr>
      <w:tr w:rsidR="007D3EC7" w:rsidTr="004B0FB5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Vzduch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kompresorov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7D3EC7" w:rsidTr="004B0FB5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Elektrická inštalácia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elektrickej inštalácie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2015 a neskôr</w:t>
            </w:r>
          </w:p>
        </w:tc>
      </w:tr>
      <w:tr w:rsidR="007D3EC7" w:rsidTr="004B0FB5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Náter/polep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Povrchová úprava exteriéru vozidla novým náterom resp. celoplošnou fóliou, s odstránením hrdze a prasklín na skrini vozňa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2019 a neskôr</w:t>
            </w:r>
          </w:p>
        </w:tc>
      </w:tr>
      <w:tr w:rsidR="007D3EC7" w:rsidTr="00D644B8">
        <w:trPr>
          <w:gridAfter w:val="1"/>
          <w:wAfter w:w="7" w:type="dxa"/>
        </w:trPr>
        <w:tc>
          <w:tcPr>
            <w:tcW w:w="1432" w:type="dxa"/>
            <w:vMerge w:val="restart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 xml:space="preserve">Podvozok 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podvozkov</w:t>
            </w:r>
          </w:p>
        </w:tc>
        <w:tc>
          <w:tcPr>
            <w:tcW w:w="30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5 roky</w:t>
            </w:r>
          </w:p>
        </w:tc>
        <w:tc>
          <w:tcPr>
            <w:tcW w:w="3435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Uplatňuje sa bez ohľadu na rok výmeny</w:t>
            </w:r>
          </w:p>
        </w:tc>
      </w:tr>
      <w:tr w:rsidR="007D3EC7" w:rsidTr="00D644B8">
        <w:trPr>
          <w:gridAfter w:val="1"/>
          <w:wAfter w:w="7" w:type="dxa"/>
        </w:trPr>
        <w:tc>
          <w:tcPr>
            <w:tcW w:w="1432" w:type="dxa"/>
            <w:vMerge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vypruženia podvozkov</w:t>
            </w:r>
          </w:p>
        </w:tc>
        <w:tc>
          <w:tcPr>
            <w:tcW w:w="3035" w:type="dxa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2 roky</w:t>
            </w:r>
          </w:p>
        </w:tc>
        <w:tc>
          <w:tcPr>
            <w:tcW w:w="34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</w:tr>
      <w:tr w:rsidR="007D3EC7" w:rsidTr="008B5D55">
        <w:trPr>
          <w:gridAfter w:val="1"/>
          <w:wAfter w:w="7" w:type="dxa"/>
        </w:trPr>
        <w:tc>
          <w:tcPr>
            <w:tcW w:w="1432" w:type="dxa"/>
            <w:vMerge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ťahadlového ústrojenstva</w:t>
            </w:r>
          </w:p>
        </w:tc>
        <w:tc>
          <w:tcPr>
            <w:tcW w:w="3035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Vek vozidla sa zníži o 0,5 roka</w:t>
            </w:r>
          </w:p>
        </w:tc>
        <w:tc>
          <w:tcPr>
            <w:tcW w:w="3435" w:type="dxa"/>
            <w:vMerge w:val="restart"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prebehla v r. 2010 a neskôr</w:t>
            </w:r>
          </w:p>
        </w:tc>
      </w:tr>
      <w:tr w:rsidR="007D3EC7" w:rsidTr="008B5D55">
        <w:trPr>
          <w:gridAfter w:val="1"/>
          <w:wAfter w:w="7" w:type="dxa"/>
        </w:trPr>
        <w:tc>
          <w:tcPr>
            <w:tcW w:w="1432" w:type="dxa"/>
            <w:vMerge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narážacieho ústrojenstva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</w:tr>
      <w:tr w:rsidR="007D3EC7" w:rsidTr="008B5D55">
        <w:trPr>
          <w:gridAfter w:val="1"/>
          <w:wAfter w:w="7" w:type="dxa"/>
        </w:trPr>
        <w:tc>
          <w:tcPr>
            <w:tcW w:w="1432" w:type="dxa"/>
            <w:vAlign w:val="center"/>
          </w:tcPr>
          <w:p w:rsidR="007D3EC7" w:rsidRDefault="007D3EC7" w:rsidP="007D3EC7">
            <w:pPr>
              <w:jc w:val="center"/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Osvetlenie</w:t>
            </w:r>
          </w:p>
        </w:tc>
        <w:tc>
          <w:tcPr>
            <w:tcW w:w="6643" w:type="dxa"/>
            <w:vAlign w:val="center"/>
          </w:tcPr>
          <w:p w:rsidR="007D3EC7" w:rsidRDefault="007D3EC7" w:rsidP="007D3EC7">
            <w:pPr>
              <w:rPr>
                <w:sz w:val="22"/>
                <w:szCs w:val="22"/>
              </w:rPr>
            </w:pPr>
            <w:r w:rsidRPr="00E265D2">
              <w:rPr>
                <w:sz w:val="22"/>
                <w:szCs w:val="22"/>
              </w:rPr>
              <w:t>Výmena návestných svetiel, príp. vonkajších svetiel</w:t>
            </w:r>
          </w:p>
        </w:tc>
        <w:tc>
          <w:tcPr>
            <w:tcW w:w="30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35" w:type="dxa"/>
            <w:vMerge/>
            <w:vAlign w:val="center"/>
          </w:tcPr>
          <w:p w:rsidR="007D3EC7" w:rsidRDefault="007D3EC7" w:rsidP="007D3EC7">
            <w:pPr>
              <w:jc w:val="both"/>
              <w:rPr>
                <w:sz w:val="22"/>
                <w:szCs w:val="22"/>
              </w:rPr>
            </w:pPr>
          </w:p>
        </w:tc>
      </w:tr>
    </w:tbl>
    <w:p w:rsidR="00244911" w:rsidRDefault="00E265D2" w:rsidP="0024491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946BFE" w:rsidRPr="00E265D2">
        <w:rPr>
          <w:sz w:val="22"/>
          <w:szCs w:val="22"/>
        </w:rPr>
        <w:t>aná tabuľka predstavuje zoznam najpodstatnejších komponentov železničných vozidiel a k nim prislúchajúce hodnoty zníženia veku vozidiel. V prípade ďalších komponentov, tieto budú osobitne posúdené MDV SR na základe požiadavky uchádzača. Zníženie veku každého vozidla bude hodnotené individuálne v závislosti od rozsahu modernizácie.</w:t>
      </w:r>
    </w:p>
    <w:p w:rsidR="00244911" w:rsidRDefault="00946BFE" w:rsidP="00244911">
      <w:pPr>
        <w:spacing w:before="240" w:after="240"/>
        <w:jc w:val="both"/>
        <w:rPr>
          <w:sz w:val="22"/>
          <w:szCs w:val="22"/>
        </w:rPr>
      </w:pPr>
      <w:r w:rsidRPr="00E265D2">
        <w:rPr>
          <w:sz w:val="22"/>
          <w:szCs w:val="22"/>
        </w:rPr>
        <w:t>Kumulatívna hodnota zníženia veku vozidla nepresiahne 15 rokov v prípade vozidiel vyrobených pred rokom 2000 a 10 rokov v prípade vozidiel vyrobených v roku 2000 a neskôr.</w:t>
      </w:r>
    </w:p>
    <w:p w:rsidR="00946BFE" w:rsidRPr="006C5A3E" w:rsidRDefault="00946BFE" w:rsidP="00244911">
      <w:pPr>
        <w:spacing w:before="240" w:after="240"/>
        <w:jc w:val="both"/>
        <w:rPr>
          <w:sz w:val="20"/>
          <w:szCs w:val="20"/>
        </w:rPr>
      </w:pPr>
      <w:r w:rsidRPr="006C5A3E">
        <w:rPr>
          <w:sz w:val="20"/>
          <w:szCs w:val="20"/>
        </w:rPr>
        <w:t>Pozn.:</w:t>
      </w:r>
    </w:p>
    <w:p w:rsidR="00946BFE" w:rsidRPr="006C5A3E" w:rsidRDefault="00946BFE" w:rsidP="00244911">
      <w:pPr>
        <w:spacing w:before="240" w:after="240"/>
        <w:jc w:val="both"/>
        <w:rPr>
          <w:sz w:val="20"/>
          <w:szCs w:val="20"/>
        </w:rPr>
      </w:pPr>
      <w:r w:rsidRPr="006C5A3E">
        <w:rPr>
          <w:sz w:val="20"/>
          <w:szCs w:val="20"/>
        </w:rPr>
        <w:t>V prípade, že železničným vozidlom je motorová jednotka, kde hnacie vozidlo je súčasťou vozidla na prepravu cestujúcich, napr. v prípade výmeny podvozkov sa uplatňuje zníženie veku vozidla iba raz, tzn. o 5 rokov (nie 5 + 5 rokov).</w:t>
      </w:r>
    </w:p>
    <w:p w:rsidR="00A66AF4" w:rsidRPr="006C5A3E" w:rsidRDefault="00A66AF4" w:rsidP="0004109A">
      <w:pPr>
        <w:spacing w:after="120"/>
        <w:rPr>
          <w:sz w:val="22"/>
          <w:szCs w:val="22"/>
        </w:rPr>
      </w:pPr>
    </w:p>
    <w:sectPr w:rsidR="00A66AF4" w:rsidRPr="006C5A3E" w:rsidSect="00E265D2">
      <w:headerReference w:type="default" r:id="rId9"/>
      <w:footerReference w:type="default" r:id="rId10"/>
      <w:headerReference w:type="first" r:id="rId11"/>
      <w:pgSz w:w="16838" w:h="11906" w:orient="landscape"/>
      <w:pgMar w:top="1134" w:right="1134" w:bottom="1134" w:left="1134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2B" w:rsidRDefault="00EB202B">
      <w:r>
        <w:separator/>
      </w:r>
    </w:p>
  </w:endnote>
  <w:endnote w:type="continuationSeparator" w:id="0">
    <w:p w:rsidR="00EB202B" w:rsidRDefault="00EB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2B" w:rsidRDefault="00EB202B">
      <w:r>
        <w:separator/>
      </w:r>
    </w:p>
  </w:footnote>
  <w:footnote w:type="continuationSeparator" w:id="0">
    <w:p w:rsidR="00EB202B" w:rsidRDefault="00EB2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 w15:restartNumberingAfterBreak="0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 w15:restartNumberingAfterBreak="0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 w15:restartNumberingAfterBreak="0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 w15:restartNumberingAfterBreak="0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 w15:restartNumberingAfterBreak="0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 w15:restartNumberingAfterBreak="0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 w15:restartNumberingAfterBreak="0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 w15:restartNumberingAfterBreak="0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 w15:restartNumberingAfterBreak="0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 w15:restartNumberingAfterBreak="0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4"/>
    <w:rsid w:val="000028EB"/>
    <w:rsid w:val="0000615A"/>
    <w:rsid w:val="00015BA0"/>
    <w:rsid w:val="0004109A"/>
    <w:rsid w:val="0004435B"/>
    <w:rsid w:val="001134F2"/>
    <w:rsid w:val="0011722D"/>
    <w:rsid w:val="00166733"/>
    <w:rsid w:val="0017211D"/>
    <w:rsid w:val="00177ACE"/>
    <w:rsid w:val="00181098"/>
    <w:rsid w:val="0018215F"/>
    <w:rsid w:val="001A024C"/>
    <w:rsid w:val="001A7ED4"/>
    <w:rsid w:val="0021591E"/>
    <w:rsid w:val="00224AF6"/>
    <w:rsid w:val="00244911"/>
    <w:rsid w:val="0024637E"/>
    <w:rsid w:val="00270C47"/>
    <w:rsid w:val="00271640"/>
    <w:rsid w:val="002740FB"/>
    <w:rsid w:val="00280364"/>
    <w:rsid w:val="002E6E5F"/>
    <w:rsid w:val="002F208E"/>
    <w:rsid w:val="00303DB1"/>
    <w:rsid w:val="00311DBF"/>
    <w:rsid w:val="00311F51"/>
    <w:rsid w:val="00321F00"/>
    <w:rsid w:val="0034393F"/>
    <w:rsid w:val="00382483"/>
    <w:rsid w:val="00383DE7"/>
    <w:rsid w:val="003921CD"/>
    <w:rsid w:val="003B6F79"/>
    <w:rsid w:val="003C672D"/>
    <w:rsid w:val="004030F2"/>
    <w:rsid w:val="00406B84"/>
    <w:rsid w:val="004109AB"/>
    <w:rsid w:val="00411622"/>
    <w:rsid w:val="004451D7"/>
    <w:rsid w:val="004605EC"/>
    <w:rsid w:val="004B45B5"/>
    <w:rsid w:val="004E07BD"/>
    <w:rsid w:val="005003C6"/>
    <w:rsid w:val="00537224"/>
    <w:rsid w:val="005801A4"/>
    <w:rsid w:val="00594290"/>
    <w:rsid w:val="005963EE"/>
    <w:rsid w:val="005C582B"/>
    <w:rsid w:val="005C5A5B"/>
    <w:rsid w:val="005E2223"/>
    <w:rsid w:val="005E2961"/>
    <w:rsid w:val="006135B5"/>
    <w:rsid w:val="00622C07"/>
    <w:rsid w:val="006300BF"/>
    <w:rsid w:val="006755CE"/>
    <w:rsid w:val="0069113E"/>
    <w:rsid w:val="006C5A3E"/>
    <w:rsid w:val="006E42CA"/>
    <w:rsid w:val="00726242"/>
    <w:rsid w:val="0075047F"/>
    <w:rsid w:val="0076681E"/>
    <w:rsid w:val="007A36EE"/>
    <w:rsid w:val="007B47A3"/>
    <w:rsid w:val="007C07D3"/>
    <w:rsid w:val="007D3EC7"/>
    <w:rsid w:val="007E1FFE"/>
    <w:rsid w:val="007E3F57"/>
    <w:rsid w:val="007F4A10"/>
    <w:rsid w:val="008031CE"/>
    <w:rsid w:val="0081156D"/>
    <w:rsid w:val="008256E3"/>
    <w:rsid w:val="00831D82"/>
    <w:rsid w:val="00860B10"/>
    <w:rsid w:val="00875740"/>
    <w:rsid w:val="008A19C9"/>
    <w:rsid w:val="008D3FEE"/>
    <w:rsid w:val="00903DF4"/>
    <w:rsid w:val="00912C26"/>
    <w:rsid w:val="00936D3E"/>
    <w:rsid w:val="00946BFE"/>
    <w:rsid w:val="0095633E"/>
    <w:rsid w:val="00992C9C"/>
    <w:rsid w:val="009A44B8"/>
    <w:rsid w:val="00A05171"/>
    <w:rsid w:val="00A23BB0"/>
    <w:rsid w:val="00A3288F"/>
    <w:rsid w:val="00A42157"/>
    <w:rsid w:val="00A66AF4"/>
    <w:rsid w:val="00A82A09"/>
    <w:rsid w:val="00A85C6D"/>
    <w:rsid w:val="00AC0FD3"/>
    <w:rsid w:val="00AD6A03"/>
    <w:rsid w:val="00AD7D63"/>
    <w:rsid w:val="00B0038A"/>
    <w:rsid w:val="00B12A6E"/>
    <w:rsid w:val="00B322FF"/>
    <w:rsid w:val="00B51B9C"/>
    <w:rsid w:val="00B7081A"/>
    <w:rsid w:val="00B730B9"/>
    <w:rsid w:val="00B778FF"/>
    <w:rsid w:val="00B77E20"/>
    <w:rsid w:val="00B91EBA"/>
    <w:rsid w:val="00B947ED"/>
    <w:rsid w:val="00B97D80"/>
    <w:rsid w:val="00BB7008"/>
    <w:rsid w:val="00BC1E0D"/>
    <w:rsid w:val="00BD54B3"/>
    <w:rsid w:val="00BF3475"/>
    <w:rsid w:val="00BF465E"/>
    <w:rsid w:val="00C010E0"/>
    <w:rsid w:val="00C229C8"/>
    <w:rsid w:val="00C34AF0"/>
    <w:rsid w:val="00C42BA6"/>
    <w:rsid w:val="00C445EB"/>
    <w:rsid w:val="00C44E7E"/>
    <w:rsid w:val="00C74054"/>
    <w:rsid w:val="00C77872"/>
    <w:rsid w:val="00C8462E"/>
    <w:rsid w:val="00C92EC5"/>
    <w:rsid w:val="00CC63C2"/>
    <w:rsid w:val="00CC6E15"/>
    <w:rsid w:val="00CF0DFE"/>
    <w:rsid w:val="00D05FD4"/>
    <w:rsid w:val="00D14E60"/>
    <w:rsid w:val="00D17257"/>
    <w:rsid w:val="00D27BCB"/>
    <w:rsid w:val="00D61E6F"/>
    <w:rsid w:val="00D72DBD"/>
    <w:rsid w:val="00D91888"/>
    <w:rsid w:val="00D94E96"/>
    <w:rsid w:val="00DA4162"/>
    <w:rsid w:val="00DC7C0A"/>
    <w:rsid w:val="00DD7C9D"/>
    <w:rsid w:val="00DF36AB"/>
    <w:rsid w:val="00E1090F"/>
    <w:rsid w:val="00E21FA9"/>
    <w:rsid w:val="00E265D2"/>
    <w:rsid w:val="00E47F5A"/>
    <w:rsid w:val="00E64F45"/>
    <w:rsid w:val="00E67BEE"/>
    <w:rsid w:val="00E9374C"/>
    <w:rsid w:val="00EB202B"/>
    <w:rsid w:val="00EB26A2"/>
    <w:rsid w:val="00ED57AC"/>
    <w:rsid w:val="00EE3D1D"/>
    <w:rsid w:val="00EF05E0"/>
    <w:rsid w:val="00F048AF"/>
    <w:rsid w:val="00F515BA"/>
    <w:rsid w:val="00F56145"/>
    <w:rsid w:val="00F7446B"/>
    <w:rsid w:val="00F928D9"/>
    <w:rsid w:val="00FA0B1D"/>
    <w:rsid w:val="00FB1320"/>
    <w:rsid w:val="00FB7D88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F394"/>
  <w15:docId w15:val="{EDD73334-47B2-4164-847C-E919EC3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Zstupntext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8C3FEA6-44F7-4C77-B118-057F2D5E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718</Words>
  <Characters>4096</Characters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2022-02-15T10:41:00Z</dcterms:created>
  <dcterms:modified xsi:type="dcterms:W3CDTF">2022-02-20T12:25:00Z</dcterms:modified>
</cp:coreProperties>
</file>