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6B5BBA" w14:textId="77777777" w:rsidR="005C657D" w:rsidRDefault="005C657D" w:rsidP="005C657D">
      <w:pPr>
        <w:spacing w:line="240" w:lineRule="auto"/>
        <w:rPr>
          <w:rFonts w:ascii="Times New Roman" w:hAnsi="Times New Roman" w:cs="Times New Roman"/>
          <w:b/>
          <w:color w:val="000000"/>
          <w:sz w:val="28"/>
          <w:szCs w:val="24"/>
        </w:rPr>
      </w:pPr>
      <w:r>
        <w:rPr>
          <w:rFonts w:ascii="Calibri" w:hAnsi="Calibri" w:cs="Calibri"/>
          <w:i/>
        </w:rPr>
        <w:t>Príloha č. 13</w:t>
      </w:r>
      <w:r w:rsidRPr="00525E05">
        <w:rPr>
          <w:rFonts w:ascii="Calibri" w:hAnsi="Calibri" w:cs="Calibri"/>
          <w:i/>
        </w:rPr>
        <w:t xml:space="preserve"> </w:t>
      </w:r>
      <w:proofErr w:type="spellStart"/>
      <w:r w:rsidRPr="00525E05">
        <w:rPr>
          <w:rFonts w:ascii="Calibri" w:hAnsi="Calibri" w:cs="Calibri"/>
          <w:i/>
        </w:rPr>
        <w:t>PpP</w:t>
      </w:r>
      <w:proofErr w:type="spellEnd"/>
      <w:r w:rsidRPr="00C2598B">
        <w:rPr>
          <w:rFonts w:ascii="Times New Roman" w:hAnsi="Times New Roman" w:cs="Times New Roman"/>
          <w:b/>
          <w:color w:val="000000"/>
          <w:sz w:val="28"/>
          <w:szCs w:val="24"/>
        </w:rPr>
        <w:t xml:space="preserve"> </w:t>
      </w:r>
    </w:p>
    <w:p w14:paraId="288732CD" w14:textId="23604608" w:rsidR="00A90CB1" w:rsidRPr="00C2598B" w:rsidRDefault="00D876A1" w:rsidP="00F12D78">
      <w:pPr>
        <w:spacing w:line="240" w:lineRule="auto"/>
        <w:jc w:val="center"/>
        <w:rPr>
          <w:rFonts w:ascii="Times New Roman" w:hAnsi="Times New Roman" w:cs="Times New Roman"/>
          <w:b/>
          <w:color w:val="000000"/>
          <w:sz w:val="28"/>
          <w:szCs w:val="24"/>
        </w:rPr>
      </w:pPr>
      <w:r w:rsidRPr="00C2598B">
        <w:rPr>
          <w:rFonts w:ascii="Times New Roman" w:hAnsi="Times New Roman" w:cs="Times New Roman"/>
          <w:b/>
          <w:color w:val="000000"/>
          <w:sz w:val="28"/>
          <w:szCs w:val="24"/>
        </w:rPr>
        <w:t>Mechanizmus indexácie cien</w:t>
      </w:r>
      <w:r w:rsidR="004D3407" w:rsidRPr="00C2598B">
        <w:rPr>
          <w:rFonts w:ascii="Times New Roman" w:hAnsi="Times New Roman" w:cs="Times New Roman"/>
          <w:b/>
          <w:color w:val="000000"/>
          <w:sz w:val="28"/>
          <w:szCs w:val="24"/>
        </w:rPr>
        <w:t xml:space="preserve"> projektov PSK</w:t>
      </w:r>
    </w:p>
    <w:p w14:paraId="65B4A6BB" w14:textId="77777777" w:rsidR="009F3153" w:rsidRPr="0019181B" w:rsidRDefault="00D448D1" w:rsidP="00F12D78">
      <w:pPr>
        <w:pStyle w:val="Default"/>
        <w:jc w:val="both"/>
        <w:rPr>
          <w:rFonts w:ascii="Calibri" w:hAnsi="Calibri"/>
          <w:sz w:val="20"/>
          <w:szCs w:val="20"/>
        </w:rPr>
      </w:pPr>
      <w:r w:rsidRPr="0019181B">
        <w:rPr>
          <w:rFonts w:ascii="Calibri" w:hAnsi="Calibri"/>
          <w:sz w:val="20"/>
          <w:szCs w:val="20"/>
          <w:lang w:eastAsia="sk-SK"/>
        </w:rPr>
        <w:t>Subjekty</w:t>
      </w:r>
      <w:r w:rsidR="00A90CB1" w:rsidRPr="0019181B">
        <w:rPr>
          <w:rFonts w:ascii="Calibri" w:hAnsi="Calibri"/>
          <w:sz w:val="20"/>
          <w:szCs w:val="20"/>
          <w:lang w:eastAsia="sk-SK"/>
        </w:rPr>
        <w:t xml:space="preserve"> </w:t>
      </w:r>
      <w:r w:rsidR="00A90CB1" w:rsidRPr="0019181B">
        <w:rPr>
          <w:rFonts w:ascii="Calibri" w:hAnsi="Calibri"/>
          <w:sz w:val="20"/>
          <w:szCs w:val="20"/>
        </w:rPr>
        <w:t xml:space="preserve">v zakladateľskej a zriaďovateľskej pôsobnosti MD SR (rozpočtové organizácie, obchodné spoločnosti s majetkovou účasťou štátu a štátne podnikateľské organizácie) </w:t>
      </w:r>
      <w:r w:rsidRPr="0019181B">
        <w:rPr>
          <w:rFonts w:ascii="Calibri" w:hAnsi="Calibri"/>
          <w:sz w:val="20"/>
          <w:szCs w:val="20"/>
          <w:u w:val="single"/>
        </w:rPr>
        <w:t>sú povinné</w:t>
      </w:r>
      <w:r w:rsidR="00A90CB1" w:rsidRPr="0019181B">
        <w:rPr>
          <w:rFonts w:ascii="Calibri" w:hAnsi="Calibri"/>
          <w:sz w:val="20"/>
          <w:szCs w:val="20"/>
          <w:u w:val="single"/>
        </w:rPr>
        <w:t xml:space="preserve"> uplatňovať mechanizmus</w:t>
      </w:r>
      <w:r w:rsidR="00A90CB1" w:rsidRPr="0019181B">
        <w:rPr>
          <w:rFonts w:ascii="Calibri" w:hAnsi="Calibri"/>
          <w:sz w:val="20"/>
          <w:szCs w:val="20"/>
        </w:rPr>
        <w:t xml:space="preserve"> na úpravu ceny v dôsledku zmien nákladov na realizáciu (ďalej len „</w:t>
      </w:r>
      <w:r w:rsidR="00A90CB1" w:rsidRPr="00EE5ACD">
        <w:rPr>
          <w:rFonts w:ascii="Calibri" w:hAnsi="Calibri"/>
          <w:b/>
          <w:sz w:val="20"/>
          <w:szCs w:val="20"/>
        </w:rPr>
        <w:t>mechanizmus indexácie</w:t>
      </w:r>
      <w:r w:rsidR="00A90CB1" w:rsidRPr="0019181B">
        <w:rPr>
          <w:rFonts w:ascii="Calibri" w:hAnsi="Calibri"/>
          <w:sz w:val="20"/>
          <w:szCs w:val="20"/>
        </w:rPr>
        <w:t xml:space="preserve">“) pri všetkých </w:t>
      </w:r>
      <w:r w:rsidR="00C870FF" w:rsidRPr="0019181B">
        <w:rPr>
          <w:rFonts w:ascii="Calibri" w:hAnsi="Calibri"/>
          <w:sz w:val="20"/>
          <w:szCs w:val="20"/>
        </w:rPr>
        <w:t>realizovaných</w:t>
      </w:r>
      <w:r w:rsidR="00A90CB1" w:rsidRPr="0019181B">
        <w:rPr>
          <w:rFonts w:ascii="Calibri" w:hAnsi="Calibri"/>
          <w:sz w:val="20"/>
          <w:szCs w:val="20"/>
        </w:rPr>
        <w:t xml:space="preserve"> stavbách</w:t>
      </w:r>
      <w:r w:rsidR="00C870FF" w:rsidRPr="0019181B">
        <w:rPr>
          <w:rFonts w:ascii="Calibri" w:hAnsi="Calibri"/>
          <w:sz w:val="20"/>
          <w:szCs w:val="20"/>
        </w:rPr>
        <w:t xml:space="preserve"> zameraných na </w:t>
      </w:r>
      <w:r w:rsidR="00A90CB1" w:rsidRPr="0019181B">
        <w:rPr>
          <w:rFonts w:ascii="Calibri" w:hAnsi="Calibri"/>
          <w:sz w:val="20"/>
          <w:szCs w:val="20"/>
        </w:rPr>
        <w:t xml:space="preserve"> </w:t>
      </w:r>
      <w:r w:rsidRPr="0019181B">
        <w:rPr>
          <w:rFonts w:ascii="Calibri" w:hAnsi="Calibri"/>
          <w:sz w:val="20"/>
          <w:szCs w:val="20"/>
        </w:rPr>
        <w:t>opravu a údržbu, výstavbu, modernizáciu a rekonštrukciu</w:t>
      </w:r>
      <w:r w:rsidR="00C870FF" w:rsidRPr="0019181B">
        <w:rPr>
          <w:rFonts w:ascii="Calibri" w:hAnsi="Calibri"/>
          <w:sz w:val="20"/>
          <w:szCs w:val="20"/>
        </w:rPr>
        <w:t xml:space="preserve"> inžinierskych stavieb a</w:t>
      </w:r>
      <w:r w:rsidR="000E1973" w:rsidRPr="0019181B">
        <w:rPr>
          <w:rFonts w:ascii="Calibri" w:hAnsi="Calibri"/>
          <w:sz w:val="20"/>
          <w:szCs w:val="20"/>
        </w:rPr>
        <w:t> </w:t>
      </w:r>
      <w:r w:rsidR="00C870FF" w:rsidRPr="0019181B">
        <w:rPr>
          <w:rFonts w:ascii="Calibri" w:hAnsi="Calibri"/>
          <w:sz w:val="20"/>
          <w:szCs w:val="20"/>
        </w:rPr>
        <w:t>budov</w:t>
      </w:r>
      <w:r w:rsidR="000E1973" w:rsidRPr="0019181B">
        <w:rPr>
          <w:rFonts w:ascii="Calibri" w:hAnsi="Calibri"/>
          <w:sz w:val="20"/>
          <w:szCs w:val="20"/>
        </w:rPr>
        <w:t xml:space="preserve"> (ďalej len „</w:t>
      </w:r>
      <w:r w:rsidR="000E1973" w:rsidRPr="00EE5ACD">
        <w:rPr>
          <w:rFonts w:ascii="Calibri" w:hAnsi="Calibri"/>
          <w:b/>
          <w:sz w:val="20"/>
          <w:szCs w:val="20"/>
        </w:rPr>
        <w:t>stavby</w:t>
      </w:r>
      <w:r w:rsidR="000E1973" w:rsidRPr="0019181B">
        <w:rPr>
          <w:rFonts w:ascii="Calibri" w:hAnsi="Calibri"/>
          <w:sz w:val="20"/>
          <w:szCs w:val="20"/>
        </w:rPr>
        <w:t>“)</w:t>
      </w:r>
      <w:r w:rsidR="00C870FF" w:rsidRPr="0019181B">
        <w:rPr>
          <w:rFonts w:ascii="Calibri" w:hAnsi="Calibri"/>
          <w:sz w:val="20"/>
          <w:szCs w:val="20"/>
        </w:rPr>
        <w:t xml:space="preserve"> </w:t>
      </w:r>
      <w:r w:rsidR="00A90CB1" w:rsidRPr="0019181B">
        <w:rPr>
          <w:rFonts w:ascii="Calibri" w:hAnsi="Calibri"/>
          <w:sz w:val="20"/>
          <w:szCs w:val="20"/>
        </w:rPr>
        <w:t>bez ohľadu na predpokladanú dobu výstavby.</w:t>
      </w:r>
      <w:r w:rsidR="00AD69C3" w:rsidRPr="0019181B">
        <w:rPr>
          <w:rFonts w:ascii="Calibri" w:hAnsi="Calibri"/>
          <w:sz w:val="20"/>
          <w:szCs w:val="20"/>
        </w:rPr>
        <w:t xml:space="preserve"> </w:t>
      </w:r>
      <w:r w:rsidR="00A7620C" w:rsidRPr="0019181B">
        <w:rPr>
          <w:rFonts w:ascii="Calibri" w:hAnsi="Calibri"/>
          <w:sz w:val="20"/>
          <w:szCs w:val="20"/>
        </w:rPr>
        <w:t>Týmto subjektom uzná MD SR z</w:t>
      </w:r>
      <w:r w:rsidRPr="0019181B">
        <w:rPr>
          <w:rFonts w:ascii="Calibri" w:hAnsi="Calibri"/>
          <w:sz w:val="20"/>
          <w:szCs w:val="20"/>
        </w:rPr>
        <w:t xml:space="preserve">a oprávnené výdavky </w:t>
      </w:r>
      <w:r w:rsidR="00AD69C3" w:rsidRPr="0019181B">
        <w:rPr>
          <w:rFonts w:ascii="Calibri" w:hAnsi="Calibri"/>
          <w:sz w:val="20"/>
          <w:szCs w:val="20"/>
        </w:rPr>
        <w:t xml:space="preserve">projektov PSK 2021-2027 </w:t>
      </w:r>
      <w:r w:rsidR="00A7620C" w:rsidRPr="0019181B">
        <w:rPr>
          <w:rFonts w:ascii="Calibri" w:hAnsi="Calibri"/>
          <w:sz w:val="20"/>
          <w:szCs w:val="20"/>
        </w:rPr>
        <w:t>len</w:t>
      </w:r>
      <w:r w:rsidR="009F3153" w:rsidRPr="0019181B">
        <w:rPr>
          <w:rFonts w:ascii="Calibri" w:hAnsi="Calibri"/>
          <w:sz w:val="20"/>
          <w:szCs w:val="20"/>
        </w:rPr>
        <w:t xml:space="preserve"> </w:t>
      </w:r>
      <w:r w:rsidR="005938E0" w:rsidRPr="0019181B">
        <w:rPr>
          <w:rFonts w:ascii="Calibri" w:hAnsi="Calibri"/>
          <w:sz w:val="20"/>
          <w:szCs w:val="20"/>
        </w:rPr>
        <w:t xml:space="preserve">také </w:t>
      </w:r>
      <w:r w:rsidR="00AD69C3" w:rsidRPr="0019181B">
        <w:rPr>
          <w:rFonts w:ascii="Calibri" w:hAnsi="Calibri"/>
          <w:sz w:val="20"/>
          <w:szCs w:val="20"/>
        </w:rPr>
        <w:t>„</w:t>
      </w:r>
      <w:proofErr w:type="spellStart"/>
      <w:r w:rsidR="00AD69C3" w:rsidRPr="0019181B">
        <w:rPr>
          <w:rFonts w:ascii="Calibri" w:hAnsi="Calibri"/>
          <w:sz w:val="20"/>
          <w:szCs w:val="20"/>
        </w:rPr>
        <w:t>indexačné</w:t>
      </w:r>
      <w:proofErr w:type="spellEnd"/>
      <w:r w:rsidR="00AD69C3" w:rsidRPr="0019181B">
        <w:rPr>
          <w:rFonts w:ascii="Calibri" w:hAnsi="Calibri"/>
          <w:sz w:val="20"/>
          <w:szCs w:val="20"/>
        </w:rPr>
        <w:t xml:space="preserve">“ </w:t>
      </w:r>
      <w:r w:rsidR="005938E0" w:rsidRPr="0019181B">
        <w:rPr>
          <w:rFonts w:ascii="Calibri" w:hAnsi="Calibri"/>
          <w:sz w:val="20"/>
          <w:szCs w:val="20"/>
        </w:rPr>
        <w:t>výdavky, ktoré</w:t>
      </w:r>
      <w:r w:rsidR="005170B9" w:rsidRPr="0019181B">
        <w:rPr>
          <w:rFonts w:ascii="Calibri" w:hAnsi="Calibri"/>
          <w:sz w:val="20"/>
          <w:szCs w:val="20"/>
        </w:rPr>
        <w:t xml:space="preserve"> </w:t>
      </w:r>
      <w:r w:rsidR="00A7620C" w:rsidRPr="0019181B">
        <w:rPr>
          <w:rFonts w:ascii="Calibri" w:hAnsi="Calibri"/>
          <w:sz w:val="20"/>
          <w:szCs w:val="20"/>
        </w:rPr>
        <w:t xml:space="preserve">boli </w:t>
      </w:r>
      <w:r w:rsidR="004D3407" w:rsidRPr="0019181B">
        <w:rPr>
          <w:rFonts w:ascii="Calibri" w:hAnsi="Calibri"/>
          <w:sz w:val="20"/>
          <w:szCs w:val="20"/>
        </w:rPr>
        <w:t xml:space="preserve">riadnym spôsobom </w:t>
      </w:r>
      <w:r w:rsidR="00335E0A" w:rsidRPr="0019181B">
        <w:rPr>
          <w:rFonts w:ascii="Calibri" w:hAnsi="Calibri"/>
          <w:sz w:val="20"/>
          <w:szCs w:val="20"/>
        </w:rPr>
        <w:t>vyčíslené</w:t>
      </w:r>
      <w:r w:rsidR="00AD69C3" w:rsidRPr="0019181B">
        <w:rPr>
          <w:rFonts w:ascii="Calibri" w:hAnsi="Calibri"/>
          <w:sz w:val="20"/>
          <w:szCs w:val="20"/>
        </w:rPr>
        <w:t xml:space="preserve"> </w:t>
      </w:r>
      <w:r w:rsidRPr="0019181B">
        <w:rPr>
          <w:rFonts w:ascii="Calibri" w:hAnsi="Calibri"/>
          <w:sz w:val="20"/>
          <w:szCs w:val="20"/>
        </w:rPr>
        <w:t>v zmysle vecne príslušných metodických pokynov MD SR</w:t>
      </w:r>
      <w:r w:rsidR="00AF343E" w:rsidRPr="0019181B">
        <w:rPr>
          <w:rFonts w:ascii="Calibri" w:hAnsi="Calibri"/>
          <w:sz w:val="20"/>
          <w:szCs w:val="20"/>
        </w:rPr>
        <w:t xml:space="preserve"> podľa nasledovných podmienok:</w:t>
      </w:r>
    </w:p>
    <w:p w14:paraId="5E6D3FFB" w14:textId="77777777" w:rsidR="00AF343E" w:rsidRPr="0019181B" w:rsidRDefault="00AF343E" w:rsidP="00F12D78">
      <w:pPr>
        <w:pStyle w:val="Default"/>
        <w:jc w:val="both"/>
        <w:rPr>
          <w:rFonts w:ascii="Calibri" w:hAnsi="Calibri"/>
          <w:sz w:val="20"/>
          <w:szCs w:val="20"/>
          <w:lang w:eastAsia="sk-SK"/>
        </w:rPr>
      </w:pPr>
    </w:p>
    <w:p w14:paraId="203C572D" w14:textId="77777777" w:rsidR="00AF343E" w:rsidRPr="0019181B" w:rsidRDefault="00AF343E" w:rsidP="00F12D78">
      <w:pPr>
        <w:pStyle w:val="Odsekzoznamu"/>
        <w:numPr>
          <w:ilvl w:val="0"/>
          <w:numId w:val="1"/>
        </w:numPr>
        <w:spacing w:after="200"/>
        <w:ind w:left="284" w:hanging="284"/>
        <w:contextualSpacing/>
        <w:jc w:val="both"/>
        <w:rPr>
          <w:rFonts w:cs="Times New Roman"/>
          <w:color w:val="000000"/>
          <w:sz w:val="20"/>
          <w:szCs w:val="20"/>
        </w:rPr>
      </w:pPr>
      <w:r w:rsidRPr="0019181B">
        <w:rPr>
          <w:rFonts w:cs="Times New Roman"/>
          <w:color w:val="000000"/>
          <w:sz w:val="20"/>
          <w:szCs w:val="20"/>
        </w:rPr>
        <w:t xml:space="preserve">Pre všetky </w:t>
      </w:r>
      <w:r w:rsidR="00F10080" w:rsidRPr="0019181B">
        <w:rPr>
          <w:rFonts w:cs="Times New Roman"/>
          <w:sz w:val="20"/>
          <w:szCs w:val="20"/>
          <w:lang w:eastAsia="sk-SK"/>
        </w:rPr>
        <w:t>Zmluvy o dielo</w:t>
      </w:r>
      <w:r w:rsidRPr="0019181B">
        <w:rPr>
          <w:rFonts w:cs="Times New Roman"/>
          <w:sz w:val="20"/>
          <w:szCs w:val="20"/>
          <w:lang w:eastAsia="sk-SK"/>
        </w:rPr>
        <w:t xml:space="preserve"> na uskutočnenie stavebných prác</w:t>
      </w:r>
      <w:r w:rsidR="00F10080" w:rsidRPr="0019181B">
        <w:rPr>
          <w:rFonts w:cs="Times New Roman"/>
          <w:sz w:val="20"/>
          <w:szCs w:val="20"/>
          <w:lang w:eastAsia="sk-SK"/>
        </w:rPr>
        <w:t xml:space="preserve"> (</w:t>
      </w:r>
      <w:proofErr w:type="spellStart"/>
      <w:r w:rsidR="00F10080" w:rsidRPr="0019181B">
        <w:rPr>
          <w:rFonts w:cs="Times New Roman"/>
          <w:sz w:val="20"/>
          <w:szCs w:val="20"/>
          <w:lang w:eastAsia="sk-SK"/>
        </w:rPr>
        <w:t>ZoD</w:t>
      </w:r>
      <w:proofErr w:type="spellEnd"/>
      <w:r w:rsidR="00F10080" w:rsidRPr="0019181B">
        <w:rPr>
          <w:rFonts w:cs="Times New Roman"/>
          <w:sz w:val="20"/>
          <w:szCs w:val="20"/>
          <w:lang w:eastAsia="sk-SK"/>
        </w:rPr>
        <w:t>)</w:t>
      </w:r>
      <w:r w:rsidRPr="0019181B">
        <w:rPr>
          <w:rFonts w:cs="Times New Roman"/>
          <w:sz w:val="20"/>
          <w:szCs w:val="20"/>
          <w:lang w:eastAsia="sk-SK"/>
        </w:rPr>
        <w:t xml:space="preserve"> </w:t>
      </w:r>
      <w:r w:rsidRPr="0019181B">
        <w:rPr>
          <w:rFonts w:cs="Times New Roman"/>
          <w:color w:val="000000"/>
          <w:sz w:val="20"/>
          <w:szCs w:val="20"/>
        </w:rPr>
        <w:t xml:space="preserve">s dátumom vyhlásenia verejného obstarávania v úradnom vestníku verejného obstarávania SR </w:t>
      </w:r>
      <w:r w:rsidRPr="0019181B">
        <w:rPr>
          <w:rFonts w:cs="Times New Roman"/>
          <w:color w:val="000000"/>
          <w:sz w:val="20"/>
          <w:szCs w:val="20"/>
          <w:u w:val="single"/>
        </w:rPr>
        <w:t>od 8. júna 2022</w:t>
      </w:r>
      <w:r w:rsidRPr="0019181B">
        <w:rPr>
          <w:rFonts w:cs="Times New Roman"/>
          <w:color w:val="000000"/>
          <w:sz w:val="20"/>
          <w:szCs w:val="20"/>
        </w:rPr>
        <w:t xml:space="preserve"> postupuje prijímateľ výlučne podľa metodického pokynu </w:t>
      </w:r>
      <w:r w:rsidRPr="0019181B">
        <w:rPr>
          <w:rFonts w:cs="Times New Roman"/>
          <w:b/>
          <w:bCs/>
          <w:color w:val="000000"/>
          <w:sz w:val="20"/>
          <w:szCs w:val="20"/>
          <w:u w:val="single"/>
        </w:rPr>
        <w:t>MDV SR č. 19/2022</w:t>
      </w:r>
      <w:r w:rsidRPr="0019181B">
        <w:rPr>
          <w:rFonts w:cs="Times New Roman"/>
          <w:color w:val="000000"/>
          <w:sz w:val="20"/>
          <w:szCs w:val="20"/>
        </w:rPr>
        <w:t>.</w:t>
      </w:r>
    </w:p>
    <w:p w14:paraId="45E92EC4" w14:textId="77777777" w:rsidR="00AF343E" w:rsidRPr="0019181B" w:rsidRDefault="00AF343E" w:rsidP="00F12D78">
      <w:pPr>
        <w:pStyle w:val="Odsekzoznamu"/>
        <w:spacing w:after="200"/>
        <w:ind w:left="284"/>
        <w:contextualSpacing/>
        <w:jc w:val="both"/>
        <w:rPr>
          <w:rFonts w:cs="Times New Roman"/>
          <w:color w:val="000000"/>
          <w:sz w:val="20"/>
          <w:szCs w:val="20"/>
        </w:rPr>
      </w:pPr>
    </w:p>
    <w:p w14:paraId="1DB3F1BE" w14:textId="77777777" w:rsidR="00AF343E" w:rsidRPr="0019181B" w:rsidRDefault="00AF343E" w:rsidP="00F12D78">
      <w:pPr>
        <w:pStyle w:val="Odsekzoznamu"/>
        <w:ind w:left="284"/>
        <w:jc w:val="both"/>
        <w:rPr>
          <w:rFonts w:cs="Times New Roman"/>
          <w:color w:val="000000"/>
          <w:sz w:val="20"/>
          <w:szCs w:val="20"/>
        </w:rPr>
      </w:pPr>
      <w:r w:rsidRPr="0019181B">
        <w:rPr>
          <w:rFonts w:cs="Times New Roman"/>
          <w:color w:val="000000"/>
          <w:sz w:val="20"/>
          <w:szCs w:val="20"/>
        </w:rPr>
        <w:t xml:space="preserve">Pre tieto </w:t>
      </w:r>
      <w:proofErr w:type="spellStart"/>
      <w:r w:rsidRPr="0019181B">
        <w:rPr>
          <w:rFonts w:cs="Times New Roman"/>
          <w:color w:val="000000"/>
          <w:sz w:val="20"/>
          <w:szCs w:val="20"/>
        </w:rPr>
        <w:t>ZoD</w:t>
      </w:r>
      <w:proofErr w:type="spellEnd"/>
      <w:r w:rsidRPr="0019181B">
        <w:rPr>
          <w:rFonts w:cs="Times New Roman"/>
          <w:color w:val="000000"/>
          <w:sz w:val="20"/>
          <w:szCs w:val="20"/>
        </w:rPr>
        <w:t xml:space="preserve"> platí, že </w:t>
      </w:r>
      <w:proofErr w:type="spellStart"/>
      <w:r w:rsidRPr="0019181B">
        <w:rPr>
          <w:rFonts w:cs="Times New Roman"/>
          <w:color w:val="000000"/>
          <w:sz w:val="20"/>
          <w:szCs w:val="20"/>
        </w:rPr>
        <w:t>indexačné</w:t>
      </w:r>
      <w:proofErr w:type="spellEnd"/>
      <w:r w:rsidRPr="0019181B">
        <w:rPr>
          <w:rFonts w:cs="Times New Roman"/>
          <w:color w:val="000000"/>
          <w:sz w:val="20"/>
          <w:szCs w:val="20"/>
        </w:rPr>
        <w:t xml:space="preserve"> mechanizmy sa aplikujú </w:t>
      </w:r>
      <w:r w:rsidRPr="0019181B">
        <w:rPr>
          <w:rFonts w:cs="Times New Roman"/>
          <w:color w:val="000000"/>
          <w:sz w:val="20"/>
          <w:szCs w:val="20"/>
          <w:u w:val="single"/>
        </w:rPr>
        <w:t>výlučne</w:t>
      </w:r>
      <w:r w:rsidRPr="0019181B">
        <w:rPr>
          <w:rFonts w:cs="Times New Roman"/>
          <w:color w:val="000000"/>
          <w:sz w:val="20"/>
          <w:szCs w:val="20"/>
        </w:rPr>
        <w:t xml:space="preserve"> podľa MP MDV SR č. 19/2022 a nie je možné v rámci ich implementácie uplatňovať </w:t>
      </w:r>
      <w:proofErr w:type="spellStart"/>
      <w:r w:rsidRPr="0019181B">
        <w:rPr>
          <w:rFonts w:cs="Times New Roman"/>
          <w:color w:val="000000"/>
          <w:sz w:val="20"/>
          <w:szCs w:val="20"/>
        </w:rPr>
        <w:t>indexačné</w:t>
      </w:r>
      <w:proofErr w:type="spellEnd"/>
      <w:r w:rsidRPr="0019181B">
        <w:rPr>
          <w:rFonts w:cs="Times New Roman"/>
          <w:color w:val="000000"/>
          <w:sz w:val="20"/>
          <w:szCs w:val="20"/>
        </w:rPr>
        <w:t xml:space="preserve"> mechanizmy spôsobom uvedeným v MP MDV SR č. 27/2022, resp. kombináciou postupov MP MDV SR 19/2022 a MP MDV SR č. 27/2022.</w:t>
      </w:r>
    </w:p>
    <w:p w14:paraId="1B4DC604" w14:textId="77777777" w:rsidR="00AF343E" w:rsidRPr="0019181B" w:rsidRDefault="00AF343E" w:rsidP="00F12D78">
      <w:pPr>
        <w:pStyle w:val="Odsekzoznamu"/>
        <w:ind w:left="1080"/>
        <w:jc w:val="both"/>
        <w:rPr>
          <w:rFonts w:cs="Times New Roman"/>
          <w:color w:val="000000"/>
          <w:sz w:val="20"/>
          <w:szCs w:val="20"/>
        </w:rPr>
      </w:pPr>
    </w:p>
    <w:p w14:paraId="62A9E831" w14:textId="77777777" w:rsidR="00085E1B" w:rsidRPr="0019181B" w:rsidRDefault="00AF343E" w:rsidP="00F12D78">
      <w:pPr>
        <w:pStyle w:val="Odsekzoznamu"/>
        <w:numPr>
          <w:ilvl w:val="0"/>
          <w:numId w:val="1"/>
        </w:numPr>
        <w:spacing w:after="200"/>
        <w:ind w:left="284" w:hanging="284"/>
        <w:contextualSpacing/>
        <w:jc w:val="both"/>
        <w:rPr>
          <w:rFonts w:cs="Times New Roman"/>
          <w:color w:val="000000"/>
          <w:sz w:val="20"/>
          <w:szCs w:val="20"/>
        </w:rPr>
      </w:pPr>
      <w:r w:rsidRPr="0019181B">
        <w:rPr>
          <w:rFonts w:cs="Times New Roman"/>
          <w:color w:val="000000"/>
          <w:sz w:val="20"/>
          <w:szCs w:val="20"/>
        </w:rPr>
        <w:t xml:space="preserve">Pre </w:t>
      </w:r>
      <w:proofErr w:type="spellStart"/>
      <w:r w:rsidRPr="0019181B">
        <w:rPr>
          <w:rFonts w:cs="Times New Roman"/>
          <w:color w:val="000000"/>
          <w:sz w:val="20"/>
          <w:szCs w:val="20"/>
        </w:rPr>
        <w:t>ZoD</w:t>
      </w:r>
      <w:proofErr w:type="spellEnd"/>
      <w:r w:rsidRPr="0019181B">
        <w:rPr>
          <w:rFonts w:cs="Times New Roman"/>
          <w:color w:val="000000"/>
          <w:sz w:val="20"/>
          <w:szCs w:val="20"/>
        </w:rPr>
        <w:t xml:space="preserve"> </w:t>
      </w:r>
      <w:r w:rsidRPr="0019181B">
        <w:rPr>
          <w:rFonts w:cs="Times New Roman"/>
          <w:sz w:val="20"/>
          <w:szCs w:val="20"/>
          <w:lang w:eastAsia="sk-SK"/>
        </w:rPr>
        <w:t>pri ktorých bolo verejné obstarávanie zrealizované</w:t>
      </w:r>
      <w:r w:rsidR="00F12D78" w:rsidRPr="0019181B">
        <w:rPr>
          <w:rStyle w:val="Odkaznapoznmkupodiarou"/>
          <w:rFonts w:cs="Times New Roman"/>
          <w:sz w:val="20"/>
          <w:szCs w:val="20"/>
          <w:lang w:eastAsia="sk-SK"/>
        </w:rPr>
        <w:footnoteReference w:id="1"/>
      </w:r>
      <w:r w:rsidRPr="0019181B">
        <w:rPr>
          <w:rFonts w:cs="Times New Roman"/>
          <w:sz w:val="20"/>
          <w:szCs w:val="20"/>
          <w:lang w:eastAsia="sk-SK"/>
        </w:rPr>
        <w:t xml:space="preserve"> </w:t>
      </w:r>
      <w:r w:rsidRPr="0019181B">
        <w:rPr>
          <w:rFonts w:cs="Times New Roman"/>
          <w:sz w:val="20"/>
          <w:szCs w:val="20"/>
          <w:u w:val="single"/>
          <w:lang w:eastAsia="sk-SK"/>
        </w:rPr>
        <w:t>do 8. júna 2022</w:t>
      </w:r>
      <w:r w:rsidRPr="0019181B">
        <w:rPr>
          <w:rFonts w:cs="Times New Roman"/>
          <w:sz w:val="20"/>
          <w:szCs w:val="20"/>
          <w:lang w:eastAsia="sk-SK"/>
        </w:rPr>
        <w:t xml:space="preserve"> postupuje prijímateľ </w:t>
      </w:r>
      <w:r w:rsidR="00085E1B" w:rsidRPr="0019181B">
        <w:rPr>
          <w:rFonts w:cs="Times New Roman"/>
          <w:sz w:val="20"/>
          <w:szCs w:val="20"/>
          <w:lang w:eastAsia="sk-SK"/>
        </w:rPr>
        <w:t>nasledovne:</w:t>
      </w:r>
    </w:p>
    <w:p w14:paraId="11B23F94" w14:textId="251DA223" w:rsidR="00AF343E" w:rsidRPr="0019181B" w:rsidRDefault="00AF343E" w:rsidP="00C63BF9">
      <w:pPr>
        <w:pStyle w:val="Odsekzoznamu"/>
        <w:numPr>
          <w:ilvl w:val="0"/>
          <w:numId w:val="12"/>
        </w:numPr>
        <w:spacing w:after="200"/>
        <w:contextualSpacing/>
        <w:jc w:val="both"/>
        <w:rPr>
          <w:rFonts w:cs="Times New Roman"/>
          <w:color w:val="000000"/>
          <w:sz w:val="20"/>
          <w:szCs w:val="20"/>
        </w:rPr>
      </w:pPr>
      <w:r w:rsidRPr="0019181B">
        <w:rPr>
          <w:rFonts w:cs="Times New Roman"/>
          <w:color w:val="000000"/>
          <w:sz w:val="20"/>
          <w:szCs w:val="20"/>
        </w:rPr>
        <w:t xml:space="preserve">v prípadoch, ak Zmluva neobsahuje žiadne postupy uplatnenia </w:t>
      </w:r>
      <w:proofErr w:type="spellStart"/>
      <w:r w:rsidRPr="0019181B">
        <w:rPr>
          <w:rFonts w:cs="Times New Roman"/>
          <w:color w:val="000000"/>
          <w:sz w:val="20"/>
          <w:szCs w:val="20"/>
        </w:rPr>
        <w:t>indexačného</w:t>
      </w:r>
      <w:proofErr w:type="spellEnd"/>
      <w:r w:rsidRPr="0019181B">
        <w:rPr>
          <w:rFonts w:cs="Times New Roman"/>
          <w:color w:val="000000"/>
          <w:sz w:val="20"/>
          <w:szCs w:val="20"/>
        </w:rPr>
        <w:t xml:space="preserve"> mechanizmu</w:t>
      </w:r>
      <w:r w:rsidR="00085E1B" w:rsidRPr="0019181B">
        <w:rPr>
          <w:rFonts w:cs="Times New Roman"/>
          <w:sz w:val="20"/>
          <w:szCs w:val="20"/>
          <w:lang w:eastAsia="sk-SK"/>
        </w:rPr>
        <w:t xml:space="preserve"> postupuje výlučne </w:t>
      </w:r>
      <w:r w:rsidR="00085E1B" w:rsidRPr="0019181B">
        <w:rPr>
          <w:rFonts w:cs="Times New Roman"/>
          <w:color w:val="000000"/>
          <w:sz w:val="20"/>
          <w:szCs w:val="20"/>
        </w:rPr>
        <w:t xml:space="preserve">podľa metodického pokynu </w:t>
      </w:r>
      <w:r w:rsidR="00085E1B" w:rsidRPr="0019181B">
        <w:rPr>
          <w:rFonts w:cs="Times New Roman"/>
          <w:b/>
          <w:bCs/>
          <w:color w:val="000000"/>
          <w:sz w:val="20"/>
          <w:szCs w:val="20"/>
          <w:u w:val="single"/>
        </w:rPr>
        <w:t>MDV SR č. 27/2022</w:t>
      </w:r>
      <w:r w:rsidRPr="0019181B">
        <w:rPr>
          <w:rFonts w:cs="Times New Roman"/>
          <w:color w:val="000000"/>
          <w:sz w:val="20"/>
          <w:szCs w:val="20"/>
        </w:rPr>
        <w:t xml:space="preserve">. </w:t>
      </w:r>
    </w:p>
    <w:p w14:paraId="32ABFDAC" w14:textId="79CF7A4D" w:rsidR="0053513A" w:rsidRPr="0019181B" w:rsidRDefault="00085E1B" w:rsidP="00C63BF9">
      <w:pPr>
        <w:pStyle w:val="Odsekzoznamu"/>
        <w:numPr>
          <w:ilvl w:val="0"/>
          <w:numId w:val="12"/>
        </w:numPr>
        <w:spacing w:after="200"/>
        <w:contextualSpacing/>
        <w:jc w:val="both"/>
        <w:rPr>
          <w:rFonts w:cs="Times New Roman"/>
          <w:color w:val="000000"/>
          <w:sz w:val="20"/>
          <w:szCs w:val="20"/>
        </w:rPr>
      </w:pPr>
      <w:r w:rsidRPr="0019181B">
        <w:rPr>
          <w:rFonts w:cs="Times New Roman"/>
          <w:color w:val="000000"/>
          <w:sz w:val="20"/>
          <w:szCs w:val="20"/>
        </w:rPr>
        <w:t xml:space="preserve">v prípadoch, ak Zmluva obsahuje postupy uplatnenia </w:t>
      </w:r>
      <w:proofErr w:type="spellStart"/>
      <w:r w:rsidRPr="0019181B">
        <w:rPr>
          <w:rFonts w:cs="Times New Roman"/>
          <w:color w:val="000000"/>
          <w:sz w:val="20"/>
          <w:szCs w:val="20"/>
        </w:rPr>
        <w:t>indexačného</w:t>
      </w:r>
      <w:proofErr w:type="spellEnd"/>
      <w:r w:rsidRPr="0019181B">
        <w:rPr>
          <w:rFonts w:cs="Times New Roman"/>
          <w:color w:val="000000"/>
          <w:sz w:val="20"/>
          <w:szCs w:val="20"/>
        </w:rPr>
        <w:t xml:space="preserve"> mechanizmu v zmysle metodického pokynu MDV SR č. 6/2018</w:t>
      </w:r>
      <w:r w:rsidR="0053513A" w:rsidRPr="0019181B">
        <w:rPr>
          <w:rFonts w:cs="Times New Roman"/>
          <w:color w:val="000000"/>
          <w:sz w:val="20"/>
          <w:szCs w:val="20"/>
        </w:rPr>
        <w:t xml:space="preserve"> Prijímateľ posúdi či</w:t>
      </w:r>
      <w:r w:rsidR="00DC6219" w:rsidRPr="0019181B">
        <w:rPr>
          <w:rFonts w:cs="Times New Roman"/>
          <w:color w:val="000000"/>
          <w:sz w:val="20"/>
          <w:szCs w:val="20"/>
        </w:rPr>
        <w:t xml:space="preserve"> platí, že</w:t>
      </w:r>
      <w:r w:rsidR="0053513A" w:rsidRPr="0019181B">
        <w:rPr>
          <w:rFonts w:cs="Times New Roman"/>
          <w:color w:val="000000"/>
          <w:sz w:val="20"/>
          <w:szCs w:val="20"/>
        </w:rPr>
        <w:t>:</w:t>
      </w:r>
    </w:p>
    <w:p w14:paraId="0A0448CD" w14:textId="0CEB9ED0" w:rsidR="00085E1B" w:rsidRPr="0019181B" w:rsidRDefault="0053513A" w:rsidP="00C63BF9">
      <w:pPr>
        <w:pStyle w:val="Odsekzoznamu"/>
        <w:numPr>
          <w:ilvl w:val="0"/>
          <w:numId w:val="13"/>
        </w:numPr>
        <w:spacing w:after="200"/>
        <w:ind w:hanging="83"/>
        <w:contextualSpacing/>
        <w:jc w:val="both"/>
        <w:rPr>
          <w:rFonts w:cs="Times New Roman"/>
          <w:color w:val="000000"/>
          <w:sz w:val="20"/>
          <w:szCs w:val="20"/>
        </w:rPr>
      </w:pPr>
      <w:r w:rsidRPr="0019181B">
        <w:rPr>
          <w:rFonts w:cs="Times New Roman"/>
          <w:color w:val="000000"/>
          <w:sz w:val="20"/>
          <w:szCs w:val="20"/>
        </w:rPr>
        <w:t xml:space="preserve">všetky vznesené finančné </w:t>
      </w:r>
      <w:proofErr w:type="spellStart"/>
      <w:r w:rsidRPr="0019181B">
        <w:rPr>
          <w:rFonts w:cs="Times New Roman"/>
          <w:color w:val="000000"/>
          <w:sz w:val="20"/>
          <w:szCs w:val="20"/>
        </w:rPr>
        <w:t>indexačné</w:t>
      </w:r>
      <w:proofErr w:type="spellEnd"/>
      <w:r w:rsidRPr="0019181B">
        <w:rPr>
          <w:rFonts w:cs="Times New Roman"/>
          <w:color w:val="000000"/>
          <w:sz w:val="20"/>
          <w:szCs w:val="20"/>
        </w:rPr>
        <w:t xml:space="preserve"> nároky zhotoviteľa je možné plne uspokojiť týmto existujúcim zmluvným mechanizmom a v tomto prípade uplatní iba MP 6/2018;</w:t>
      </w:r>
    </w:p>
    <w:p w14:paraId="708DC602" w14:textId="6D0C6494" w:rsidR="0053513A" w:rsidRPr="0019181B" w:rsidRDefault="0053513A" w:rsidP="00C63BF9">
      <w:pPr>
        <w:pStyle w:val="Odsekzoznamu"/>
        <w:numPr>
          <w:ilvl w:val="0"/>
          <w:numId w:val="13"/>
        </w:numPr>
        <w:spacing w:after="200"/>
        <w:ind w:hanging="83"/>
        <w:contextualSpacing/>
        <w:jc w:val="both"/>
        <w:rPr>
          <w:rFonts w:cs="Times New Roman"/>
          <w:color w:val="000000"/>
          <w:sz w:val="20"/>
          <w:szCs w:val="20"/>
        </w:rPr>
      </w:pPr>
      <w:r w:rsidRPr="0019181B">
        <w:rPr>
          <w:rFonts w:cs="Times New Roman"/>
          <w:color w:val="000000"/>
          <w:sz w:val="20"/>
          <w:szCs w:val="20"/>
        </w:rPr>
        <w:t xml:space="preserve">všetky vznesené finančné </w:t>
      </w:r>
      <w:proofErr w:type="spellStart"/>
      <w:r w:rsidRPr="0019181B">
        <w:rPr>
          <w:rFonts w:cs="Times New Roman"/>
          <w:color w:val="000000"/>
          <w:sz w:val="20"/>
          <w:szCs w:val="20"/>
        </w:rPr>
        <w:t>indexačné</w:t>
      </w:r>
      <w:proofErr w:type="spellEnd"/>
      <w:r w:rsidRPr="0019181B">
        <w:rPr>
          <w:rFonts w:cs="Times New Roman"/>
          <w:color w:val="000000"/>
          <w:sz w:val="20"/>
          <w:szCs w:val="20"/>
        </w:rPr>
        <w:t xml:space="preserve"> nároky zhotoviteľa nie je možné plne uspokojiť týmto existujúcim zmluvným mechanizmom a v tomto prípade uplatní kombináciu MP MDV SR č. 6/2018 a MP MDV SR č. 27/2022</w:t>
      </w:r>
    </w:p>
    <w:p w14:paraId="7E3DC61C" w14:textId="77777777" w:rsidR="00AF343E" w:rsidRPr="0019181B" w:rsidRDefault="00AF343E" w:rsidP="00F12D78">
      <w:pPr>
        <w:pBdr>
          <w:top w:val="single" w:sz="4" w:space="1" w:color="auto"/>
          <w:left w:val="single" w:sz="4" w:space="4" w:color="auto"/>
          <w:bottom w:val="single" w:sz="4" w:space="1" w:color="auto"/>
          <w:right w:val="single" w:sz="4" w:space="4" w:color="auto"/>
        </w:pBdr>
        <w:spacing w:after="0" w:line="240" w:lineRule="auto"/>
        <w:jc w:val="both"/>
        <w:rPr>
          <w:rFonts w:ascii="Calibri" w:hAnsi="Calibri"/>
          <w:bCs/>
          <w:i/>
          <w:caps/>
          <w:sz w:val="20"/>
          <w:szCs w:val="20"/>
          <w:lang w:eastAsia="cs-CZ"/>
        </w:rPr>
      </w:pPr>
      <w:r w:rsidRPr="0019181B">
        <w:rPr>
          <w:rFonts w:ascii="Calibri" w:hAnsi="Calibri"/>
          <w:sz w:val="20"/>
          <w:szCs w:val="20"/>
          <w:lang w:eastAsia="cs-CZ"/>
        </w:rPr>
        <w:t>Kompletné znenia MP MDV SR č. 19/2022 a č. 27/2022 sú uverejnené na webovom sídle MD SR v časti Inštitútu dopravnej politiky, konkrétne</w:t>
      </w:r>
      <w:r w:rsidRPr="0019181B">
        <w:rPr>
          <w:rFonts w:ascii="Calibri" w:hAnsi="Calibri"/>
          <w:bCs/>
          <w:i/>
          <w:sz w:val="20"/>
          <w:szCs w:val="20"/>
          <w:lang w:eastAsia="cs-CZ"/>
        </w:rPr>
        <w:t xml:space="preserve"> </w:t>
      </w:r>
      <w:hyperlink r:id="rId8" w:history="1">
        <w:r w:rsidRPr="0019181B">
          <w:rPr>
            <w:rStyle w:val="Hypertextovprepojenie"/>
            <w:rFonts w:ascii="Calibri" w:hAnsi="Calibri"/>
            <w:bCs/>
            <w:i/>
            <w:sz w:val="20"/>
            <w:szCs w:val="20"/>
            <w:lang w:eastAsia="cs-CZ"/>
          </w:rPr>
          <w:t>tu</w:t>
        </w:r>
      </w:hyperlink>
      <w:r w:rsidRPr="0019181B">
        <w:rPr>
          <w:rFonts w:ascii="Calibri" w:hAnsi="Calibri"/>
          <w:bCs/>
          <w:i/>
          <w:sz w:val="20"/>
          <w:szCs w:val="20"/>
          <w:lang w:eastAsia="cs-CZ"/>
        </w:rPr>
        <w:t>.</w:t>
      </w:r>
    </w:p>
    <w:p w14:paraId="22E62CF7" w14:textId="77777777" w:rsidR="00AF343E" w:rsidRPr="0019181B" w:rsidRDefault="00AF343E" w:rsidP="00F12D78">
      <w:pPr>
        <w:pStyle w:val="Default"/>
        <w:jc w:val="both"/>
        <w:rPr>
          <w:rFonts w:ascii="Calibri" w:hAnsi="Calibri"/>
          <w:sz w:val="20"/>
          <w:szCs w:val="20"/>
          <w:lang w:eastAsia="sk-SK"/>
        </w:rPr>
      </w:pPr>
    </w:p>
    <w:p w14:paraId="7357BEE4" w14:textId="6187FD3A" w:rsidR="00DF2CED" w:rsidRPr="0019181B" w:rsidRDefault="000C225A" w:rsidP="00C2598B">
      <w:pPr>
        <w:spacing w:after="120" w:line="240" w:lineRule="auto"/>
        <w:jc w:val="both"/>
        <w:rPr>
          <w:rFonts w:ascii="Calibri" w:hAnsi="Calibri" w:cs="Times New Roman"/>
          <w:color w:val="000000"/>
          <w:sz w:val="20"/>
          <w:szCs w:val="20"/>
        </w:rPr>
      </w:pPr>
      <w:r w:rsidRPr="0019181B">
        <w:rPr>
          <w:rFonts w:ascii="Calibri" w:hAnsi="Calibri" w:cs="Times New Roman"/>
          <w:color w:val="000000"/>
          <w:sz w:val="20"/>
          <w:szCs w:val="20"/>
        </w:rPr>
        <w:t xml:space="preserve">Tieto procesné postupy pre aplikáciu </w:t>
      </w:r>
      <w:r w:rsidR="00744F77" w:rsidRPr="0019181B">
        <w:rPr>
          <w:rFonts w:ascii="Calibri" w:hAnsi="Calibri" w:cs="Times New Roman"/>
          <w:color w:val="000000"/>
          <w:sz w:val="20"/>
          <w:szCs w:val="20"/>
        </w:rPr>
        <w:t xml:space="preserve">MP MDV SR č. 6/2018, </w:t>
      </w:r>
      <w:r w:rsidRPr="0019181B">
        <w:rPr>
          <w:rFonts w:ascii="Calibri" w:hAnsi="Calibri" w:cs="Times New Roman"/>
          <w:color w:val="000000"/>
          <w:sz w:val="20"/>
          <w:szCs w:val="20"/>
        </w:rPr>
        <w:t>MP MDV SR č. 19/2022 a MP MDV SR č. 27/2022 sú určené najmä pre prijímateľov PSK</w:t>
      </w:r>
      <w:r w:rsidR="00C2598B" w:rsidRPr="0019181B">
        <w:rPr>
          <w:rFonts w:ascii="Calibri" w:hAnsi="Calibri" w:cs="Times New Roman"/>
          <w:color w:val="000000"/>
          <w:sz w:val="20"/>
          <w:szCs w:val="20"/>
        </w:rPr>
        <w:t xml:space="preserve"> v zakladateľskej/zriaďovateľskej pôsobnosti MD SR</w:t>
      </w:r>
      <w:r w:rsidRPr="0019181B">
        <w:rPr>
          <w:rFonts w:ascii="Calibri" w:hAnsi="Calibri" w:cs="Times New Roman"/>
          <w:color w:val="000000"/>
          <w:sz w:val="20"/>
          <w:szCs w:val="20"/>
        </w:rPr>
        <w:t>, ktorí implementujú stavebné infraštruktúrne projekty PSK </w:t>
      </w:r>
      <w:r w:rsidR="00C2598B" w:rsidRPr="0019181B">
        <w:rPr>
          <w:rFonts w:ascii="Calibri" w:hAnsi="Calibri" w:cs="Times New Roman"/>
          <w:color w:val="000000"/>
          <w:sz w:val="20"/>
          <w:szCs w:val="20"/>
        </w:rPr>
        <w:t xml:space="preserve">a </w:t>
      </w:r>
      <w:r w:rsidRPr="0019181B">
        <w:rPr>
          <w:rFonts w:ascii="Calibri" w:hAnsi="Calibri" w:cs="Times New Roman"/>
          <w:color w:val="000000"/>
          <w:sz w:val="20"/>
          <w:szCs w:val="20"/>
        </w:rPr>
        <w:t>v rámci ktorých si zhotovitelia uplatňujú dodatočné finančné nároky vzhľadom na preukázateľne nárasty cien stavebných materiálov, a ktoré je nevyhnuté premietnuť do vecne príslušných Zmlúv o poskytnutí NFP projektov PSK/</w:t>
      </w:r>
      <w:proofErr w:type="spellStart"/>
      <w:r w:rsidRPr="0019181B">
        <w:rPr>
          <w:rFonts w:ascii="Calibri" w:hAnsi="Calibri" w:cs="Times New Roman"/>
          <w:color w:val="000000"/>
          <w:sz w:val="20"/>
          <w:szCs w:val="20"/>
        </w:rPr>
        <w:t>ZoD</w:t>
      </w:r>
      <w:proofErr w:type="spellEnd"/>
      <w:r w:rsidRPr="0019181B">
        <w:rPr>
          <w:rFonts w:ascii="Calibri" w:hAnsi="Calibri" w:cs="Times New Roman"/>
          <w:color w:val="000000"/>
          <w:sz w:val="20"/>
          <w:szCs w:val="20"/>
        </w:rPr>
        <w:t>.</w:t>
      </w:r>
      <w:r w:rsidR="00C2598B" w:rsidRPr="0019181B">
        <w:rPr>
          <w:rFonts w:ascii="Calibri" w:hAnsi="Calibri" w:cs="Times New Roman"/>
          <w:color w:val="000000"/>
          <w:sz w:val="20"/>
          <w:szCs w:val="20"/>
        </w:rPr>
        <w:t xml:space="preserve"> </w:t>
      </w:r>
    </w:p>
    <w:p w14:paraId="049DFDE1" w14:textId="11B0A854" w:rsidR="00744F77" w:rsidRPr="00EE5ACD" w:rsidRDefault="005938E0" w:rsidP="00EE5ACD">
      <w:pPr>
        <w:spacing w:after="120" w:line="240" w:lineRule="auto"/>
        <w:jc w:val="both"/>
        <w:rPr>
          <w:rFonts w:ascii="Calibri" w:hAnsi="Calibri" w:cs="Times New Roman"/>
          <w:color w:val="000000"/>
          <w:sz w:val="20"/>
          <w:szCs w:val="20"/>
        </w:rPr>
      </w:pPr>
      <w:r w:rsidRPr="0019181B">
        <w:rPr>
          <w:rFonts w:ascii="Calibri" w:hAnsi="Calibri" w:cs="Times New Roman"/>
          <w:color w:val="000000"/>
          <w:sz w:val="20"/>
          <w:szCs w:val="20"/>
        </w:rPr>
        <w:t>MD SR</w:t>
      </w:r>
      <w:r w:rsidR="004B6871" w:rsidRPr="0019181B">
        <w:rPr>
          <w:rFonts w:ascii="Calibri" w:hAnsi="Calibri" w:cs="Times New Roman"/>
          <w:color w:val="000000"/>
          <w:sz w:val="20"/>
          <w:szCs w:val="20"/>
        </w:rPr>
        <w:t xml:space="preserve"> </w:t>
      </w:r>
      <w:r w:rsidRPr="0019181B">
        <w:rPr>
          <w:rFonts w:ascii="Calibri" w:hAnsi="Calibri" w:cs="Times New Roman"/>
          <w:color w:val="000000"/>
          <w:sz w:val="20"/>
          <w:szCs w:val="20"/>
        </w:rPr>
        <w:t xml:space="preserve">zároveň </w:t>
      </w:r>
      <w:r w:rsidR="004B6871" w:rsidRPr="0019181B">
        <w:rPr>
          <w:rFonts w:ascii="Calibri" w:hAnsi="Calibri" w:cs="Times New Roman"/>
          <w:color w:val="000000"/>
          <w:sz w:val="20"/>
          <w:szCs w:val="20"/>
        </w:rPr>
        <w:t xml:space="preserve">odporúča aplikovať rovnaké, resp. obdobné mechanizmy indexácie </w:t>
      </w:r>
      <w:r w:rsidR="004A0FA5" w:rsidRPr="0019181B">
        <w:rPr>
          <w:rFonts w:ascii="Calibri" w:hAnsi="Calibri" w:cs="Times New Roman"/>
          <w:color w:val="000000"/>
          <w:sz w:val="20"/>
          <w:szCs w:val="20"/>
        </w:rPr>
        <w:t xml:space="preserve">stavieb </w:t>
      </w:r>
      <w:r w:rsidR="004B6871" w:rsidRPr="0019181B">
        <w:rPr>
          <w:rFonts w:ascii="Calibri" w:hAnsi="Calibri" w:cs="Times New Roman"/>
          <w:color w:val="000000"/>
          <w:sz w:val="20"/>
          <w:szCs w:val="20"/>
        </w:rPr>
        <w:t xml:space="preserve">aj ostatným subjektom, ktoré nie sú </w:t>
      </w:r>
      <w:r w:rsidR="00EE5ACD">
        <w:rPr>
          <w:rFonts w:ascii="Calibri" w:hAnsi="Calibri" w:cs="Times New Roman"/>
          <w:color w:val="000000"/>
          <w:sz w:val="20"/>
          <w:szCs w:val="20"/>
        </w:rPr>
        <w:t xml:space="preserve">v </w:t>
      </w:r>
      <w:r w:rsidR="004B6871" w:rsidRPr="0019181B">
        <w:rPr>
          <w:rFonts w:ascii="Calibri" w:hAnsi="Calibri" w:cs="Times New Roman"/>
          <w:color w:val="000000"/>
          <w:sz w:val="20"/>
          <w:szCs w:val="20"/>
        </w:rPr>
        <w:t>zakladateľskej/zriaďovateľskej pôsobnosti MD SR</w:t>
      </w:r>
      <w:r w:rsidR="00D448D1" w:rsidRPr="0019181B">
        <w:rPr>
          <w:rFonts w:ascii="Calibri" w:hAnsi="Calibri" w:cs="Times New Roman"/>
          <w:color w:val="000000"/>
          <w:sz w:val="20"/>
          <w:szCs w:val="20"/>
        </w:rPr>
        <w:t>, ale implementujú stavebné projekty prostredníctvom výziev</w:t>
      </w:r>
      <w:r w:rsidR="002A1D22" w:rsidRPr="0019181B">
        <w:rPr>
          <w:rFonts w:ascii="Calibri" w:hAnsi="Calibri" w:cs="Times New Roman"/>
          <w:color w:val="000000"/>
          <w:sz w:val="20"/>
          <w:szCs w:val="20"/>
        </w:rPr>
        <w:t>, ktoré sú vyhlásené</w:t>
      </w:r>
      <w:r w:rsidR="00D448D1" w:rsidRPr="0019181B">
        <w:rPr>
          <w:rFonts w:ascii="Calibri" w:hAnsi="Calibri" w:cs="Times New Roman"/>
          <w:color w:val="000000"/>
          <w:sz w:val="20"/>
          <w:szCs w:val="20"/>
        </w:rPr>
        <w:t xml:space="preserve"> MD SR ako SO pre PSK 2021-2027.</w:t>
      </w:r>
      <w:r w:rsidR="00334051" w:rsidRPr="0019181B">
        <w:rPr>
          <w:rFonts w:ascii="Calibri" w:hAnsi="Calibri" w:cs="Times New Roman"/>
          <w:color w:val="000000"/>
          <w:sz w:val="20"/>
          <w:szCs w:val="20"/>
        </w:rPr>
        <w:t xml:space="preserve"> </w:t>
      </w:r>
      <w:r w:rsidRPr="0019181B">
        <w:rPr>
          <w:rFonts w:ascii="Calibri" w:hAnsi="Calibri" w:cs="Times New Roman"/>
          <w:color w:val="000000"/>
          <w:sz w:val="20"/>
          <w:szCs w:val="20"/>
        </w:rPr>
        <w:t>Ak prijímatelia mimo zriaďovateľskej/zakladateľskej pôsobnosti MD SR použili v</w:t>
      </w:r>
      <w:r w:rsidR="00AD69C3" w:rsidRPr="0019181B">
        <w:rPr>
          <w:rFonts w:ascii="Calibri" w:hAnsi="Calibri" w:cs="Times New Roman"/>
          <w:color w:val="000000"/>
          <w:sz w:val="20"/>
          <w:szCs w:val="20"/>
        </w:rPr>
        <w:t> procese indexácie stavebných prác</w:t>
      </w:r>
      <w:r w:rsidR="009F3153" w:rsidRPr="0019181B">
        <w:rPr>
          <w:rFonts w:ascii="Calibri" w:hAnsi="Calibri" w:cs="Times New Roman"/>
          <w:color w:val="000000"/>
          <w:sz w:val="20"/>
          <w:szCs w:val="20"/>
        </w:rPr>
        <w:t xml:space="preserve"> </w:t>
      </w:r>
      <w:r w:rsidRPr="0019181B">
        <w:rPr>
          <w:rFonts w:ascii="Calibri" w:hAnsi="Calibri" w:cs="Times New Roman"/>
          <w:color w:val="000000"/>
          <w:sz w:val="20"/>
          <w:szCs w:val="20"/>
        </w:rPr>
        <w:t xml:space="preserve">iné </w:t>
      </w:r>
      <w:r w:rsidR="00AD69C3" w:rsidRPr="0019181B">
        <w:rPr>
          <w:rFonts w:ascii="Calibri" w:hAnsi="Calibri" w:cs="Times New Roman"/>
          <w:color w:val="000000"/>
          <w:sz w:val="20"/>
          <w:szCs w:val="20"/>
        </w:rPr>
        <w:t xml:space="preserve">metodické procesné </w:t>
      </w:r>
      <w:r w:rsidRPr="0019181B">
        <w:rPr>
          <w:rFonts w:ascii="Calibri" w:hAnsi="Calibri" w:cs="Times New Roman"/>
          <w:color w:val="000000"/>
          <w:sz w:val="20"/>
          <w:szCs w:val="20"/>
        </w:rPr>
        <w:t>postupy ako sú uvedené v predmetných MP MD SR</w:t>
      </w:r>
      <w:r w:rsidR="00AD69C3" w:rsidRPr="0019181B">
        <w:rPr>
          <w:rFonts w:ascii="Calibri" w:hAnsi="Calibri" w:cs="Times New Roman"/>
          <w:color w:val="000000"/>
          <w:sz w:val="20"/>
          <w:szCs w:val="20"/>
        </w:rPr>
        <w:t>, tak ich akceptovateľnosť</w:t>
      </w:r>
      <w:r w:rsidR="00744F77" w:rsidRPr="0019181B">
        <w:rPr>
          <w:rFonts w:ascii="Calibri" w:hAnsi="Calibri" w:cs="Times New Roman"/>
          <w:color w:val="000000"/>
          <w:sz w:val="20"/>
          <w:szCs w:val="20"/>
        </w:rPr>
        <w:t xml:space="preserve"> individuálne </w:t>
      </w:r>
      <w:r w:rsidR="00AD69C3" w:rsidRPr="0019181B">
        <w:rPr>
          <w:rFonts w:ascii="Calibri" w:hAnsi="Calibri" w:cs="Times New Roman"/>
          <w:color w:val="000000"/>
          <w:sz w:val="20"/>
          <w:szCs w:val="20"/>
        </w:rPr>
        <w:t xml:space="preserve">posúdi </w:t>
      </w:r>
      <w:r w:rsidR="00EB7836" w:rsidRPr="0019181B">
        <w:rPr>
          <w:rFonts w:ascii="Calibri" w:hAnsi="Calibri" w:cs="Times New Roman"/>
          <w:color w:val="000000"/>
          <w:sz w:val="20"/>
          <w:szCs w:val="20"/>
        </w:rPr>
        <w:t>MD SR</w:t>
      </w:r>
      <w:r w:rsidR="00AD69C3" w:rsidRPr="0019181B">
        <w:rPr>
          <w:rFonts w:ascii="Calibri" w:hAnsi="Calibri" w:cs="Times New Roman"/>
          <w:color w:val="000000"/>
          <w:sz w:val="20"/>
          <w:szCs w:val="20"/>
        </w:rPr>
        <w:t xml:space="preserve"> </w:t>
      </w:r>
      <w:r w:rsidR="00744F77" w:rsidRPr="0019181B">
        <w:rPr>
          <w:rFonts w:ascii="Calibri" w:hAnsi="Calibri" w:cs="Times New Roman"/>
          <w:color w:val="000000"/>
          <w:sz w:val="20"/>
          <w:szCs w:val="20"/>
        </w:rPr>
        <w:t xml:space="preserve">ad hoc </w:t>
      </w:r>
      <w:r w:rsidR="00AD69C3" w:rsidRPr="0019181B">
        <w:rPr>
          <w:rFonts w:ascii="Calibri" w:hAnsi="Calibri" w:cs="Times New Roman"/>
          <w:color w:val="000000"/>
          <w:sz w:val="20"/>
          <w:szCs w:val="20"/>
        </w:rPr>
        <w:t xml:space="preserve">v zmysle platných interných riadiacich metodických postupov </w:t>
      </w:r>
      <w:r w:rsidR="00353F43" w:rsidRPr="0019181B">
        <w:rPr>
          <w:rFonts w:ascii="Calibri" w:hAnsi="Calibri" w:cs="Times New Roman"/>
          <w:color w:val="000000"/>
          <w:sz w:val="20"/>
          <w:szCs w:val="20"/>
        </w:rPr>
        <w:t xml:space="preserve">(napr. </w:t>
      </w:r>
      <w:r w:rsidR="000C225A" w:rsidRPr="0019181B">
        <w:rPr>
          <w:rFonts w:ascii="Calibri" w:hAnsi="Calibri" w:cs="Times New Roman"/>
          <w:color w:val="000000"/>
          <w:sz w:val="20"/>
          <w:szCs w:val="20"/>
        </w:rPr>
        <w:t xml:space="preserve">počas výkonu administratívnej finančnej kontroly </w:t>
      </w:r>
      <w:proofErr w:type="spellStart"/>
      <w:r w:rsidR="000C225A" w:rsidRPr="0019181B">
        <w:rPr>
          <w:rFonts w:ascii="Calibri" w:hAnsi="Calibri" w:cs="Times New Roman"/>
          <w:color w:val="000000"/>
          <w:sz w:val="20"/>
          <w:szCs w:val="20"/>
        </w:rPr>
        <w:t>ŽoP</w:t>
      </w:r>
      <w:proofErr w:type="spellEnd"/>
      <w:r w:rsidR="000C225A" w:rsidRPr="0019181B">
        <w:rPr>
          <w:rFonts w:ascii="Calibri" w:hAnsi="Calibri" w:cs="Times New Roman"/>
          <w:color w:val="000000"/>
          <w:sz w:val="20"/>
          <w:szCs w:val="20"/>
        </w:rPr>
        <w:t xml:space="preserve"> </w:t>
      </w:r>
      <w:r w:rsidR="00AD69C3" w:rsidRPr="0019181B">
        <w:rPr>
          <w:rFonts w:ascii="Calibri" w:hAnsi="Calibri" w:cs="Times New Roman"/>
          <w:color w:val="000000"/>
          <w:sz w:val="20"/>
          <w:szCs w:val="20"/>
        </w:rPr>
        <w:t xml:space="preserve">a výsledky </w:t>
      </w:r>
      <w:r w:rsidR="0062216B" w:rsidRPr="0019181B">
        <w:rPr>
          <w:rFonts w:ascii="Calibri" w:hAnsi="Calibri" w:cs="Times New Roman"/>
          <w:color w:val="000000"/>
          <w:sz w:val="20"/>
          <w:szCs w:val="20"/>
        </w:rPr>
        <w:t>kontroly</w:t>
      </w:r>
      <w:r w:rsidR="00AD69C3" w:rsidRPr="0019181B">
        <w:rPr>
          <w:rFonts w:ascii="Calibri" w:hAnsi="Calibri" w:cs="Times New Roman"/>
          <w:color w:val="000000"/>
          <w:sz w:val="20"/>
          <w:szCs w:val="20"/>
        </w:rPr>
        <w:t xml:space="preserve"> oznámi prijímateľom v Správe z</w:t>
      </w:r>
      <w:r w:rsidR="000C225A" w:rsidRPr="0019181B">
        <w:rPr>
          <w:rFonts w:ascii="Calibri" w:hAnsi="Calibri" w:cs="Times New Roman"/>
          <w:color w:val="000000"/>
          <w:sz w:val="20"/>
          <w:szCs w:val="20"/>
        </w:rPr>
        <w:t> </w:t>
      </w:r>
      <w:r w:rsidR="00AD69C3" w:rsidRPr="0019181B">
        <w:rPr>
          <w:rFonts w:ascii="Calibri" w:hAnsi="Calibri" w:cs="Times New Roman"/>
          <w:color w:val="000000"/>
          <w:sz w:val="20"/>
          <w:szCs w:val="20"/>
        </w:rPr>
        <w:t>kontroly</w:t>
      </w:r>
      <w:r w:rsidR="000C225A" w:rsidRPr="0019181B">
        <w:rPr>
          <w:rFonts w:ascii="Calibri" w:hAnsi="Calibri" w:cs="Times New Roman"/>
          <w:color w:val="000000"/>
          <w:sz w:val="20"/>
          <w:szCs w:val="20"/>
        </w:rPr>
        <w:t xml:space="preserve"> </w:t>
      </w:r>
      <w:proofErr w:type="spellStart"/>
      <w:r w:rsidR="000C225A" w:rsidRPr="0019181B">
        <w:rPr>
          <w:rFonts w:ascii="Calibri" w:hAnsi="Calibri" w:cs="Times New Roman"/>
          <w:color w:val="000000"/>
          <w:sz w:val="20"/>
          <w:szCs w:val="20"/>
        </w:rPr>
        <w:t>ŽoP</w:t>
      </w:r>
      <w:proofErr w:type="spellEnd"/>
      <w:r w:rsidR="00353F43" w:rsidRPr="0019181B">
        <w:rPr>
          <w:rFonts w:ascii="Calibri" w:hAnsi="Calibri" w:cs="Times New Roman"/>
          <w:color w:val="000000"/>
          <w:sz w:val="20"/>
          <w:szCs w:val="20"/>
        </w:rPr>
        <w:t>)</w:t>
      </w:r>
      <w:r w:rsidR="00AD69C3" w:rsidRPr="0019181B">
        <w:rPr>
          <w:rFonts w:ascii="Calibri" w:hAnsi="Calibri" w:cs="Times New Roman"/>
          <w:color w:val="000000"/>
          <w:sz w:val="20"/>
          <w:szCs w:val="20"/>
        </w:rPr>
        <w:t>.</w:t>
      </w:r>
    </w:p>
    <w:p w14:paraId="1571E995" w14:textId="35226C35" w:rsidR="00893642" w:rsidRPr="0019181B" w:rsidRDefault="00893642" w:rsidP="00893642">
      <w:pPr>
        <w:autoSpaceDE w:val="0"/>
        <w:autoSpaceDN w:val="0"/>
        <w:adjustRightInd w:val="0"/>
        <w:spacing w:after="120" w:line="240" w:lineRule="auto"/>
        <w:jc w:val="both"/>
        <w:rPr>
          <w:rFonts w:ascii="Calibri" w:hAnsi="Calibri" w:cs="Times New Roman"/>
          <w:color w:val="000000"/>
          <w:sz w:val="20"/>
          <w:szCs w:val="20"/>
          <w:u w:val="single"/>
        </w:rPr>
      </w:pPr>
      <w:r w:rsidRPr="0019181B">
        <w:rPr>
          <w:rFonts w:ascii="Calibri" w:hAnsi="Calibri" w:cs="Times New Roman"/>
          <w:color w:val="000000"/>
          <w:sz w:val="20"/>
          <w:szCs w:val="20"/>
          <w:u w:val="single"/>
        </w:rPr>
        <w:t>K vybraným aspektom aplikácie MP MDV SR č. 27/2022:</w:t>
      </w:r>
    </w:p>
    <w:p w14:paraId="4E1AC302" w14:textId="77777777" w:rsidR="00893642" w:rsidRPr="0019181B" w:rsidRDefault="00893642" w:rsidP="00DF2CED">
      <w:pPr>
        <w:pStyle w:val="Odsekzoznamu"/>
        <w:numPr>
          <w:ilvl w:val="0"/>
          <w:numId w:val="10"/>
        </w:numPr>
        <w:autoSpaceDE w:val="0"/>
        <w:autoSpaceDN w:val="0"/>
        <w:adjustRightInd w:val="0"/>
        <w:spacing w:after="120"/>
        <w:ind w:left="284" w:hanging="284"/>
        <w:jc w:val="both"/>
        <w:rPr>
          <w:rFonts w:cs="Times New Roman"/>
          <w:i/>
          <w:color w:val="000000"/>
          <w:sz w:val="20"/>
          <w:szCs w:val="20"/>
        </w:rPr>
      </w:pPr>
      <w:r w:rsidRPr="0019181B">
        <w:rPr>
          <w:rFonts w:cs="Times New Roman"/>
          <w:i/>
          <w:color w:val="000000"/>
          <w:sz w:val="20"/>
          <w:szCs w:val="20"/>
        </w:rPr>
        <w:t>Aspekt preukázania nepredvídateľnosti</w:t>
      </w:r>
    </w:p>
    <w:p w14:paraId="6837F62A" w14:textId="3184E6AB" w:rsidR="00744F77" w:rsidRPr="0019181B" w:rsidRDefault="00893642" w:rsidP="001E6372">
      <w:pPr>
        <w:autoSpaceDE w:val="0"/>
        <w:autoSpaceDN w:val="0"/>
        <w:adjustRightInd w:val="0"/>
        <w:spacing w:line="240" w:lineRule="auto"/>
        <w:jc w:val="both"/>
        <w:rPr>
          <w:rFonts w:ascii="Calibri" w:hAnsi="Calibri" w:cs="Times New Roman"/>
          <w:color w:val="000000"/>
          <w:sz w:val="20"/>
          <w:szCs w:val="20"/>
        </w:rPr>
      </w:pPr>
      <w:r w:rsidRPr="0019181B">
        <w:rPr>
          <w:rFonts w:ascii="Calibri" w:hAnsi="Calibri" w:cs="Times New Roman"/>
          <w:color w:val="000000"/>
          <w:sz w:val="20"/>
          <w:szCs w:val="20"/>
        </w:rPr>
        <w:t xml:space="preserve">Pre potreby preukázania príčinnej súvislosti medzi nepredvídateľným nárastom vybraných stavebných materiálov spôsobených pandémiou COVID-19 a vojnovým konfliktom je možné použiť argumenty uvedené v predkladacej správe, resp. </w:t>
      </w:r>
      <w:proofErr w:type="spellStart"/>
      <w:r w:rsidRPr="0019181B">
        <w:rPr>
          <w:rFonts w:ascii="Calibri" w:hAnsi="Calibri" w:cs="Times New Roman"/>
          <w:color w:val="000000"/>
          <w:sz w:val="20"/>
          <w:szCs w:val="20"/>
        </w:rPr>
        <w:t>pr</w:t>
      </w:r>
      <w:proofErr w:type="spellEnd"/>
      <w:r w:rsidRPr="0019181B">
        <w:rPr>
          <w:rFonts w:ascii="Calibri" w:hAnsi="Calibri" w:cs="Times New Roman"/>
          <w:color w:val="000000"/>
          <w:sz w:val="20"/>
          <w:szCs w:val="20"/>
        </w:rPr>
        <w:t xml:space="preserve">. č. 3 materiálu MP MDV SR č. 22/2022 vypracovanej v zmysle úlohy B.1 uznesenia vlády SR č. 331/2022. Odporúča sa, aby prijímateľ uviedol tieto argumenty priamo v texte </w:t>
      </w:r>
      <w:proofErr w:type="spellStart"/>
      <w:r w:rsidRPr="0019181B">
        <w:rPr>
          <w:rFonts w:ascii="Calibri" w:hAnsi="Calibri" w:cs="Times New Roman"/>
          <w:color w:val="000000"/>
          <w:sz w:val="20"/>
          <w:szCs w:val="20"/>
        </w:rPr>
        <w:t>indexačného</w:t>
      </w:r>
      <w:proofErr w:type="spellEnd"/>
      <w:r w:rsidRPr="0019181B">
        <w:rPr>
          <w:rFonts w:ascii="Calibri" w:hAnsi="Calibri" w:cs="Times New Roman"/>
          <w:color w:val="000000"/>
          <w:sz w:val="20"/>
          <w:szCs w:val="20"/>
        </w:rPr>
        <w:t xml:space="preserve"> dodatku </w:t>
      </w:r>
      <w:r w:rsidRPr="0019181B">
        <w:rPr>
          <w:rFonts w:ascii="Calibri" w:hAnsi="Calibri" w:cs="Times New Roman"/>
          <w:color w:val="000000"/>
          <w:sz w:val="20"/>
          <w:szCs w:val="20"/>
        </w:rPr>
        <w:lastRenderedPageBreak/>
        <w:t xml:space="preserve">k Zmluve. Pre potreby riadneho zdokladovania vzniku konkrétnych nepredvídateľných skutočností, v zmysle ktorých vznikol nárok na zmenu pôvodnej ceny zmluvy a konkrétneho vyčíslenia nárastu ceny zákazky je nevyhnutné predložiť MD SR konkrétne argumenty/písomné dôkazy vo vzťahu k realizovanej zákazke, ktoré hodnoverným spôsobom preukážu skutkový stav nutnosti navýšenia ceny zákazky. Pri zisťovaní príčinnej súvislosti nárastu cien materiálov na konkrétnych zákazkách (projektoch </w:t>
      </w:r>
      <w:r w:rsidR="004803CB" w:rsidRPr="0019181B">
        <w:rPr>
          <w:rFonts w:ascii="Calibri" w:hAnsi="Calibri" w:cs="Times New Roman"/>
          <w:color w:val="000000"/>
          <w:sz w:val="20"/>
          <w:szCs w:val="20"/>
        </w:rPr>
        <w:t>PSK</w:t>
      </w:r>
      <w:r w:rsidRPr="0019181B">
        <w:rPr>
          <w:rFonts w:ascii="Calibri" w:hAnsi="Calibri" w:cs="Times New Roman"/>
          <w:color w:val="000000"/>
          <w:sz w:val="20"/>
          <w:szCs w:val="20"/>
        </w:rPr>
        <w:t xml:space="preserve">) bude </w:t>
      </w:r>
      <w:r w:rsidR="004803CB" w:rsidRPr="0019181B">
        <w:rPr>
          <w:rFonts w:ascii="Calibri" w:hAnsi="Calibri" w:cs="Times New Roman"/>
          <w:color w:val="000000"/>
          <w:sz w:val="20"/>
          <w:szCs w:val="20"/>
        </w:rPr>
        <w:t>MD SR</w:t>
      </w:r>
      <w:r w:rsidRPr="0019181B">
        <w:rPr>
          <w:rFonts w:ascii="Calibri" w:hAnsi="Calibri" w:cs="Times New Roman"/>
          <w:color w:val="000000"/>
          <w:sz w:val="20"/>
          <w:szCs w:val="20"/>
        </w:rPr>
        <w:t xml:space="preserve"> skúmať, či skutočnosti preukazované prijímateľom v tejto predloženej dokumentácii mohli mať reálny vplyv na nárast pôvodnej ceny, resp. či preukazované skutočnosti boli skutočnou príčinou nárastu ceny stavebných materiálov; príčinou nárastu bude potvrdená len taká skutočnosť, bez ktorej by následok nenastal. </w:t>
      </w:r>
      <w:r w:rsidR="004803CB" w:rsidRPr="0019181B">
        <w:rPr>
          <w:rFonts w:ascii="Calibri" w:hAnsi="Calibri" w:cs="Times New Roman"/>
          <w:color w:val="000000"/>
          <w:sz w:val="20"/>
          <w:szCs w:val="20"/>
        </w:rPr>
        <w:t>MD SR</w:t>
      </w:r>
      <w:r w:rsidRPr="0019181B">
        <w:rPr>
          <w:rFonts w:ascii="Calibri" w:hAnsi="Calibri" w:cs="Times New Roman"/>
          <w:color w:val="000000"/>
          <w:sz w:val="20"/>
          <w:szCs w:val="20"/>
        </w:rPr>
        <w:t xml:space="preserve"> bude ďalej takisto skúmať, či vzniknutý skutkový stav a vzniknutý nárast ceny sú vo vzájomnom pomere príčiny a následku a pod.</w:t>
      </w:r>
    </w:p>
    <w:p w14:paraId="75172EE1" w14:textId="77777777" w:rsidR="00893642" w:rsidRPr="0019181B" w:rsidRDefault="00893642" w:rsidP="00DF2CED">
      <w:pPr>
        <w:pStyle w:val="Odsekzoznamu"/>
        <w:numPr>
          <w:ilvl w:val="0"/>
          <w:numId w:val="10"/>
        </w:numPr>
        <w:spacing w:after="120"/>
        <w:ind w:left="284" w:hanging="284"/>
        <w:jc w:val="both"/>
        <w:rPr>
          <w:rFonts w:cs="Times New Roman"/>
          <w:i/>
          <w:color w:val="000000"/>
          <w:sz w:val="20"/>
          <w:szCs w:val="20"/>
        </w:rPr>
      </w:pPr>
      <w:r w:rsidRPr="0019181B">
        <w:rPr>
          <w:rFonts w:cs="Times New Roman"/>
          <w:i/>
          <w:color w:val="000000"/>
          <w:sz w:val="20"/>
          <w:szCs w:val="20"/>
        </w:rPr>
        <w:t xml:space="preserve">Spôsob výpočtu a preukázania </w:t>
      </w:r>
      <w:r w:rsidR="006E156C" w:rsidRPr="0019181B">
        <w:rPr>
          <w:rFonts w:cs="Times New Roman"/>
          <w:i/>
          <w:color w:val="000000"/>
          <w:sz w:val="20"/>
          <w:szCs w:val="20"/>
        </w:rPr>
        <w:t>novej navýšenej ceny</w:t>
      </w:r>
    </w:p>
    <w:p w14:paraId="79EB46E7" w14:textId="44657B47" w:rsidR="00744F77" w:rsidRPr="0019181B" w:rsidRDefault="00893642" w:rsidP="001E6372">
      <w:pPr>
        <w:spacing w:line="240" w:lineRule="auto"/>
        <w:jc w:val="both"/>
        <w:rPr>
          <w:rFonts w:ascii="Calibri" w:hAnsi="Calibri" w:cs="Times New Roman"/>
          <w:color w:val="000000"/>
          <w:sz w:val="20"/>
          <w:szCs w:val="20"/>
        </w:rPr>
      </w:pPr>
      <w:r w:rsidRPr="0019181B">
        <w:rPr>
          <w:rFonts w:ascii="Calibri" w:hAnsi="Calibri" w:cs="Times New Roman"/>
          <w:color w:val="000000"/>
          <w:sz w:val="20"/>
          <w:szCs w:val="20"/>
        </w:rPr>
        <w:t>MD SR uzná ako oprávnené výdavky projektu PSK spojené s nárastom cien stavebných materiálov len výdavky za nákup stavebného materiálu, ktorých sumy nepresahujú hodnoty výsledného Indexu výrobných cien vybraných materiálov používaných v stavebníctve podľa členenia CPA zodpovedajúcej hodnote indexovanej hodnoty T0.</w:t>
      </w:r>
    </w:p>
    <w:p w14:paraId="464921A5" w14:textId="77777777" w:rsidR="001E6372" w:rsidRPr="0019181B" w:rsidRDefault="001E6372" w:rsidP="00DF2CED">
      <w:pPr>
        <w:pStyle w:val="Odsekzoznamu"/>
        <w:numPr>
          <w:ilvl w:val="0"/>
          <w:numId w:val="10"/>
        </w:numPr>
        <w:spacing w:after="120"/>
        <w:ind w:left="284" w:hanging="284"/>
        <w:jc w:val="both"/>
        <w:rPr>
          <w:rFonts w:cs="Times New Roman"/>
          <w:i/>
          <w:color w:val="000000"/>
          <w:sz w:val="20"/>
          <w:szCs w:val="20"/>
        </w:rPr>
      </w:pPr>
      <w:r w:rsidRPr="0019181B">
        <w:rPr>
          <w:rFonts w:cs="Times New Roman"/>
          <w:i/>
          <w:color w:val="000000"/>
          <w:sz w:val="20"/>
          <w:szCs w:val="20"/>
        </w:rPr>
        <w:t>Oznámenie zhotoviteľ</w:t>
      </w:r>
      <w:r w:rsidR="0062216B" w:rsidRPr="0019181B">
        <w:rPr>
          <w:rFonts w:cs="Times New Roman"/>
          <w:i/>
          <w:color w:val="000000"/>
          <w:sz w:val="20"/>
          <w:szCs w:val="20"/>
        </w:rPr>
        <w:t>a</w:t>
      </w:r>
      <w:r w:rsidRPr="0019181B">
        <w:rPr>
          <w:rFonts w:cs="Times New Roman"/>
          <w:i/>
          <w:color w:val="000000"/>
          <w:sz w:val="20"/>
          <w:szCs w:val="20"/>
        </w:rPr>
        <w:t xml:space="preserve"> na dodatočnú platbu</w:t>
      </w:r>
    </w:p>
    <w:p w14:paraId="7E9C9965" w14:textId="77777777" w:rsidR="00893642" w:rsidRPr="0019181B" w:rsidRDefault="001E6372" w:rsidP="00542FA0">
      <w:pPr>
        <w:spacing w:after="0" w:line="240" w:lineRule="auto"/>
        <w:jc w:val="both"/>
        <w:rPr>
          <w:rFonts w:ascii="Calibri" w:hAnsi="Calibri" w:cs="Times New Roman"/>
          <w:color w:val="000000"/>
          <w:sz w:val="20"/>
          <w:szCs w:val="20"/>
        </w:rPr>
      </w:pPr>
      <w:r w:rsidRPr="0019181B">
        <w:rPr>
          <w:rFonts w:ascii="Calibri" w:hAnsi="Calibri" w:cs="Times New Roman"/>
          <w:color w:val="000000"/>
          <w:sz w:val="20"/>
          <w:szCs w:val="20"/>
        </w:rPr>
        <w:t>MD SR</w:t>
      </w:r>
      <w:r w:rsidR="00893642" w:rsidRPr="0019181B">
        <w:rPr>
          <w:rFonts w:ascii="Calibri" w:hAnsi="Calibri" w:cs="Times New Roman"/>
          <w:color w:val="000000"/>
          <w:sz w:val="20"/>
          <w:szCs w:val="20"/>
        </w:rPr>
        <w:t xml:space="preserve"> pripustí do financovania z </w:t>
      </w:r>
      <w:r w:rsidRPr="0019181B">
        <w:rPr>
          <w:rFonts w:ascii="Calibri" w:hAnsi="Calibri" w:cs="Times New Roman"/>
          <w:color w:val="000000"/>
          <w:sz w:val="20"/>
          <w:szCs w:val="20"/>
        </w:rPr>
        <w:t>PSK</w:t>
      </w:r>
      <w:r w:rsidR="00893642" w:rsidRPr="0019181B">
        <w:rPr>
          <w:rFonts w:ascii="Calibri" w:hAnsi="Calibri" w:cs="Times New Roman"/>
          <w:color w:val="000000"/>
          <w:sz w:val="20"/>
          <w:szCs w:val="20"/>
        </w:rPr>
        <w:t xml:space="preserve"> len také </w:t>
      </w:r>
      <w:proofErr w:type="spellStart"/>
      <w:r w:rsidR="00893642" w:rsidRPr="0019181B">
        <w:rPr>
          <w:rFonts w:ascii="Calibri" w:hAnsi="Calibri" w:cs="Times New Roman"/>
          <w:color w:val="000000"/>
          <w:sz w:val="20"/>
          <w:szCs w:val="20"/>
        </w:rPr>
        <w:t>indexačné</w:t>
      </w:r>
      <w:proofErr w:type="spellEnd"/>
      <w:r w:rsidR="00893642" w:rsidRPr="0019181B">
        <w:rPr>
          <w:rFonts w:ascii="Calibri" w:hAnsi="Calibri" w:cs="Times New Roman"/>
          <w:color w:val="000000"/>
          <w:sz w:val="20"/>
          <w:szCs w:val="20"/>
        </w:rPr>
        <w:t xml:space="preserve"> dodatky k Zmluvám, kde bol v oprávnenom období riadne vznesený písomný nárok (oznámenie) zhotoviteľa na dodatočnú platbu podľa Zmluvy, a to napr.:</w:t>
      </w:r>
    </w:p>
    <w:p w14:paraId="58B5AB74" w14:textId="77777777" w:rsidR="00893642" w:rsidRPr="0019181B" w:rsidRDefault="00893642" w:rsidP="00893642">
      <w:pPr>
        <w:pStyle w:val="Odsekzoznamu"/>
        <w:numPr>
          <w:ilvl w:val="0"/>
          <w:numId w:val="5"/>
        </w:numPr>
        <w:spacing w:after="200"/>
        <w:contextualSpacing/>
        <w:jc w:val="both"/>
        <w:rPr>
          <w:rFonts w:cs="Times New Roman"/>
          <w:color w:val="000000"/>
          <w:sz w:val="20"/>
          <w:szCs w:val="20"/>
        </w:rPr>
      </w:pPr>
      <w:r w:rsidRPr="0019181B">
        <w:rPr>
          <w:rFonts w:cs="Times New Roman"/>
          <w:color w:val="000000"/>
          <w:sz w:val="20"/>
          <w:szCs w:val="20"/>
        </w:rPr>
        <w:t xml:space="preserve">v zmysle </w:t>
      </w:r>
      <w:proofErr w:type="spellStart"/>
      <w:r w:rsidRPr="0019181B">
        <w:rPr>
          <w:rFonts w:cs="Times New Roman"/>
          <w:color w:val="000000"/>
          <w:sz w:val="20"/>
          <w:szCs w:val="20"/>
        </w:rPr>
        <w:t>čl</w:t>
      </w:r>
      <w:proofErr w:type="spellEnd"/>
      <w:r w:rsidRPr="0019181B">
        <w:rPr>
          <w:rFonts w:cs="Times New Roman"/>
          <w:color w:val="000000"/>
          <w:sz w:val="20"/>
          <w:szCs w:val="20"/>
        </w:rPr>
        <w:t xml:space="preserve"> 20.1 FIDIC </w:t>
      </w:r>
      <w:proofErr w:type="spellStart"/>
      <w:r w:rsidRPr="0019181B">
        <w:rPr>
          <w:rFonts w:cs="Times New Roman"/>
          <w:color w:val="000000"/>
          <w:sz w:val="20"/>
          <w:szCs w:val="20"/>
        </w:rPr>
        <w:t>Red</w:t>
      </w:r>
      <w:proofErr w:type="spellEnd"/>
      <w:r w:rsidRPr="0019181B">
        <w:rPr>
          <w:rFonts w:cs="Times New Roman"/>
          <w:color w:val="000000"/>
          <w:sz w:val="20"/>
          <w:szCs w:val="20"/>
        </w:rPr>
        <w:t>/</w:t>
      </w:r>
      <w:proofErr w:type="spellStart"/>
      <w:r w:rsidRPr="0019181B">
        <w:rPr>
          <w:rFonts w:cs="Times New Roman"/>
          <w:color w:val="000000"/>
          <w:sz w:val="20"/>
          <w:szCs w:val="20"/>
        </w:rPr>
        <w:t>Yellow</w:t>
      </w:r>
      <w:proofErr w:type="spellEnd"/>
      <w:r w:rsidRPr="0019181B">
        <w:rPr>
          <w:rFonts w:cs="Times New Roman"/>
          <w:color w:val="000000"/>
          <w:sz w:val="20"/>
          <w:szCs w:val="20"/>
        </w:rPr>
        <w:t xml:space="preserve"> </w:t>
      </w:r>
      <w:proofErr w:type="spellStart"/>
      <w:r w:rsidRPr="0019181B">
        <w:rPr>
          <w:rFonts w:cs="Times New Roman"/>
          <w:color w:val="000000"/>
          <w:sz w:val="20"/>
          <w:szCs w:val="20"/>
        </w:rPr>
        <w:t>book</w:t>
      </w:r>
      <w:proofErr w:type="spellEnd"/>
      <w:r w:rsidRPr="0019181B">
        <w:rPr>
          <w:rFonts w:cs="Times New Roman"/>
          <w:sz w:val="20"/>
          <w:szCs w:val="20"/>
          <w:vertAlign w:val="superscript"/>
        </w:rPr>
        <w:footnoteReference w:id="2"/>
      </w:r>
      <w:r w:rsidRPr="0019181B">
        <w:rPr>
          <w:rFonts w:cs="Times New Roman"/>
          <w:color w:val="000000"/>
          <w:sz w:val="20"/>
          <w:szCs w:val="20"/>
        </w:rPr>
        <w:t xml:space="preserve">, resp. </w:t>
      </w:r>
    </w:p>
    <w:p w14:paraId="4C7F7368" w14:textId="77777777" w:rsidR="00893642" w:rsidRPr="0019181B" w:rsidRDefault="00893642" w:rsidP="00893642">
      <w:pPr>
        <w:pStyle w:val="Odsekzoznamu"/>
        <w:numPr>
          <w:ilvl w:val="0"/>
          <w:numId w:val="5"/>
        </w:numPr>
        <w:spacing w:after="200"/>
        <w:contextualSpacing/>
        <w:jc w:val="both"/>
        <w:rPr>
          <w:rFonts w:cs="Times New Roman"/>
          <w:color w:val="000000"/>
          <w:sz w:val="20"/>
          <w:szCs w:val="20"/>
        </w:rPr>
      </w:pPr>
      <w:r w:rsidRPr="0019181B">
        <w:rPr>
          <w:rFonts w:cs="Times New Roman"/>
          <w:color w:val="000000"/>
          <w:sz w:val="20"/>
          <w:szCs w:val="20"/>
        </w:rPr>
        <w:t>podľa príslušných ustanovení Zmluvy, ktoré sa týkajú uplatňovania nárokov (</w:t>
      </w:r>
      <w:proofErr w:type="spellStart"/>
      <w:r w:rsidRPr="0019181B">
        <w:rPr>
          <w:rFonts w:cs="Times New Roman"/>
          <w:color w:val="000000"/>
          <w:sz w:val="20"/>
          <w:szCs w:val="20"/>
        </w:rPr>
        <w:t>rel</w:t>
      </w:r>
      <w:proofErr w:type="spellEnd"/>
      <w:r w:rsidRPr="0019181B">
        <w:rPr>
          <w:rFonts w:cs="Times New Roman"/>
          <w:color w:val="000000"/>
          <w:sz w:val="20"/>
          <w:szCs w:val="20"/>
        </w:rPr>
        <w:t xml:space="preserve">. pre Zmluvy vo vzťahu ku ktorým sa FIDIC </w:t>
      </w:r>
      <w:proofErr w:type="spellStart"/>
      <w:r w:rsidRPr="0019181B">
        <w:rPr>
          <w:rFonts w:cs="Times New Roman"/>
          <w:color w:val="000000"/>
          <w:sz w:val="20"/>
          <w:szCs w:val="20"/>
        </w:rPr>
        <w:t>Red</w:t>
      </w:r>
      <w:proofErr w:type="spellEnd"/>
      <w:r w:rsidRPr="0019181B">
        <w:rPr>
          <w:rFonts w:cs="Times New Roman"/>
          <w:color w:val="000000"/>
          <w:sz w:val="20"/>
          <w:szCs w:val="20"/>
        </w:rPr>
        <w:t>/</w:t>
      </w:r>
      <w:proofErr w:type="spellStart"/>
      <w:r w:rsidRPr="0019181B">
        <w:rPr>
          <w:rFonts w:cs="Times New Roman"/>
          <w:color w:val="000000"/>
          <w:sz w:val="20"/>
          <w:szCs w:val="20"/>
        </w:rPr>
        <w:t>Yellow</w:t>
      </w:r>
      <w:proofErr w:type="spellEnd"/>
      <w:r w:rsidRPr="0019181B">
        <w:rPr>
          <w:rFonts w:cs="Times New Roman"/>
          <w:color w:val="000000"/>
          <w:sz w:val="20"/>
          <w:szCs w:val="20"/>
        </w:rPr>
        <w:t xml:space="preserve"> </w:t>
      </w:r>
      <w:proofErr w:type="spellStart"/>
      <w:r w:rsidRPr="0019181B">
        <w:rPr>
          <w:rFonts w:cs="Times New Roman"/>
          <w:color w:val="000000"/>
          <w:sz w:val="20"/>
          <w:szCs w:val="20"/>
        </w:rPr>
        <w:t>book</w:t>
      </w:r>
      <w:proofErr w:type="spellEnd"/>
      <w:r w:rsidRPr="0019181B">
        <w:rPr>
          <w:rFonts w:cs="Times New Roman"/>
          <w:color w:val="000000"/>
          <w:sz w:val="20"/>
          <w:szCs w:val="20"/>
        </w:rPr>
        <w:t xml:space="preserve"> neuplatňuje), resp. </w:t>
      </w:r>
    </w:p>
    <w:p w14:paraId="1941CF6E" w14:textId="2924A755" w:rsidR="00DF2CED" w:rsidRPr="00EE5ACD" w:rsidRDefault="00893642" w:rsidP="00EE5ACD">
      <w:pPr>
        <w:pStyle w:val="Odsekzoznamu"/>
        <w:numPr>
          <w:ilvl w:val="0"/>
          <w:numId w:val="5"/>
        </w:numPr>
        <w:spacing w:after="200"/>
        <w:contextualSpacing/>
        <w:jc w:val="both"/>
        <w:rPr>
          <w:rFonts w:cs="Times New Roman"/>
          <w:color w:val="000000"/>
          <w:sz w:val="20"/>
          <w:szCs w:val="20"/>
        </w:rPr>
      </w:pPr>
      <w:r w:rsidRPr="0019181B">
        <w:rPr>
          <w:rFonts w:cs="Times New Roman"/>
          <w:color w:val="000000"/>
          <w:sz w:val="20"/>
          <w:szCs w:val="20"/>
        </w:rPr>
        <w:t>iným vhodným zákonným spôsobom, ktorý vytvára dostatočnú auditnú stopu.</w:t>
      </w:r>
    </w:p>
    <w:p w14:paraId="51650F4B" w14:textId="2D0892B4" w:rsidR="00744F77" w:rsidRPr="0019181B" w:rsidRDefault="00744F77" w:rsidP="00F12D78">
      <w:pPr>
        <w:autoSpaceDE w:val="0"/>
        <w:autoSpaceDN w:val="0"/>
        <w:adjustRightInd w:val="0"/>
        <w:spacing w:after="200" w:line="240" w:lineRule="auto"/>
        <w:contextualSpacing/>
        <w:jc w:val="both"/>
        <w:rPr>
          <w:rFonts w:ascii="Calibri" w:hAnsi="Calibri" w:cs="Times New Roman"/>
          <w:b/>
          <w:color w:val="000000"/>
          <w:sz w:val="20"/>
          <w:szCs w:val="20"/>
        </w:rPr>
      </w:pPr>
    </w:p>
    <w:p w14:paraId="26415394" w14:textId="00826186" w:rsidR="00920729" w:rsidRPr="0019181B" w:rsidRDefault="00F12D78" w:rsidP="00F12D78">
      <w:pPr>
        <w:autoSpaceDE w:val="0"/>
        <w:autoSpaceDN w:val="0"/>
        <w:adjustRightInd w:val="0"/>
        <w:spacing w:after="200" w:line="240" w:lineRule="auto"/>
        <w:contextualSpacing/>
        <w:jc w:val="both"/>
        <w:rPr>
          <w:rFonts w:ascii="Calibri" w:hAnsi="Calibri" w:cs="Times New Roman"/>
          <w:b/>
          <w:color w:val="000000"/>
          <w:sz w:val="20"/>
          <w:szCs w:val="20"/>
        </w:rPr>
      </w:pPr>
      <w:r w:rsidRPr="0019181B">
        <w:rPr>
          <w:rFonts w:ascii="Calibri" w:hAnsi="Calibri" w:cs="Times New Roman"/>
          <w:b/>
          <w:color w:val="000000"/>
          <w:sz w:val="20"/>
          <w:szCs w:val="20"/>
        </w:rPr>
        <w:t xml:space="preserve">Zmena </w:t>
      </w:r>
      <w:proofErr w:type="spellStart"/>
      <w:r w:rsidRPr="0019181B">
        <w:rPr>
          <w:rFonts w:ascii="Calibri" w:hAnsi="Calibri" w:cs="Times New Roman"/>
          <w:b/>
          <w:color w:val="000000"/>
          <w:sz w:val="20"/>
          <w:szCs w:val="20"/>
        </w:rPr>
        <w:t>ZoD</w:t>
      </w:r>
      <w:proofErr w:type="spellEnd"/>
      <w:r w:rsidRPr="0019181B">
        <w:rPr>
          <w:rFonts w:ascii="Calibri" w:hAnsi="Calibri" w:cs="Times New Roman"/>
          <w:b/>
          <w:color w:val="000000"/>
          <w:sz w:val="20"/>
          <w:szCs w:val="20"/>
        </w:rPr>
        <w:t xml:space="preserve"> (Dodatky k </w:t>
      </w:r>
      <w:proofErr w:type="spellStart"/>
      <w:r w:rsidRPr="0019181B">
        <w:rPr>
          <w:rFonts w:ascii="Calibri" w:hAnsi="Calibri" w:cs="Times New Roman"/>
          <w:b/>
          <w:color w:val="000000"/>
          <w:sz w:val="20"/>
          <w:szCs w:val="20"/>
        </w:rPr>
        <w:t>ZoD</w:t>
      </w:r>
      <w:proofErr w:type="spellEnd"/>
      <w:r w:rsidRPr="0019181B">
        <w:rPr>
          <w:rFonts w:ascii="Calibri" w:hAnsi="Calibri" w:cs="Times New Roman"/>
          <w:b/>
          <w:color w:val="000000"/>
          <w:sz w:val="20"/>
          <w:szCs w:val="20"/>
        </w:rPr>
        <w:t>)</w:t>
      </w:r>
    </w:p>
    <w:p w14:paraId="33300E93" w14:textId="77777777" w:rsidR="00F12D78" w:rsidRPr="0019181B" w:rsidRDefault="00F12D78" w:rsidP="00F12D78">
      <w:pPr>
        <w:autoSpaceDE w:val="0"/>
        <w:autoSpaceDN w:val="0"/>
        <w:adjustRightInd w:val="0"/>
        <w:spacing w:after="200" w:line="240" w:lineRule="auto"/>
        <w:contextualSpacing/>
        <w:jc w:val="both"/>
        <w:rPr>
          <w:rFonts w:ascii="Calibri" w:hAnsi="Calibri" w:cs="Times New Roman"/>
          <w:color w:val="000000"/>
          <w:sz w:val="20"/>
          <w:szCs w:val="20"/>
        </w:rPr>
      </w:pPr>
    </w:p>
    <w:p w14:paraId="55ABE944" w14:textId="77777777" w:rsidR="00F10080" w:rsidRPr="0019181B" w:rsidRDefault="00F10080" w:rsidP="00540DA5">
      <w:pPr>
        <w:autoSpaceDE w:val="0"/>
        <w:autoSpaceDN w:val="0"/>
        <w:adjustRightInd w:val="0"/>
        <w:spacing w:after="200" w:line="240" w:lineRule="auto"/>
        <w:contextualSpacing/>
        <w:jc w:val="both"/>
        <w:rPr>
          <w:rFonts w:ascii="Calibri" w:hAnsi="Calibri" w:cs="Times New Roman"/>
          <w:color w:val="000000"/>
          <w:sz w:val="20"/>
          <w:szCs w:val="20"/>
        </w:rPr>
      </w:pPr>
      <w:r w:rsidRPr="0019181B">
        <w:rPr>
          <w:rFonts w:ascii="Calibri" w:hAnsi="Calibri" w:cs="Times New Roman"/>
          <w:color w:val="000000"/>
          <w:sz w:val="20"/>
          <w:szCs w:val="20"/>
        </w:rPr>
        <w:t xml:space="preserve">V súčasnosti platné znenie zákona o verejnom obstarávaní (ZVO) upravuje problematiku zmeny zmluvy, rámcovej dohody a koncesnej zmluvy v ustanovení § 18 ZVO, ktorý predstavuje základný právny rámec na posúdenie zákonnosti vykonania zmeny zmluvy počas jej trvania. Dodatky uzavreté k zmluvám sú posudzované so zreteľom na platnú a účinnú právnu úpravu ZVO v čase uzavretia dodatku k zmluve. Ak si zhotovitelia uplatňujú dodatočné finančné nároky </w:t>
      </w:r>
      <w:r w:rsidR="00F843FB" w:rsidRPr="0019181B">
        <w:rPr>
          <w:rFonts w:ascii="Calibri" w:hAnsi="Calibri" w:cs="Times New Roman"/>
          <w:color w:val="000000"/>
          <w:sz w:val="20"/>
          <w:szCs w:val="20"/>
        </w:rPr>
        <w:t xml:space="preserve">v súvislosti s aplikáciou </w:t>
      </w:r>
      <w:proofErr w:type="spellStart"/>
      <w:r w:rsidR="00F843FB" w:rsidRPr="0019181B">
        <w:rPr>
          <w:rFonts w:ascii="Calibri" w:hAnsi="Calibri" w:cs="Times New Roman"/>
          <w:color w:val="000000"/>
          <w:sz w:val="20"/>
          <w:szCs w:val="20"/>
        </w:rPr>
        <w:t>indexačných</w:t>
      </w:r>
      <w:proofErr w:type="spellEnd"/>
      <w:r w:rsidRPr="0019181B">
        <w:rPr>
          <w:rFonts w:ascii="Calibri" w:hAnsi="Calibri" w:cs="Times New Roman"/>
          <w:color w:val="000000"/>
          <w:sz w:val="20"/>
          <w:szCs w:val="20"/>
        </w:rPr>
        <w:t xml:space="preserve"> mechanizmov, tak tieto nároky je v prvom rade nevyhnutné zákonným spôsobom premietnuť do vecne príslušných Zmlúv a to nasledovným spôsobom:</w:t>
      </w:r>
    </w:p>
    <w:p w14:paraId="3F20BF51" w14:textId="772981FD" w:rsidR="00540DA5" w:rsidRPr="0019181B" w:rsidDel="00FE521C" w:rsidRDefault="00F10080" w:rsidP="00540DA5">
      <w:pPr>
        <w:pStyle w:val="Odsekzoznamu"/>
        <w:numPr>
          <w:ilvl w:val="0"/>
          <w:numId w:val="4"/>
        </w:numPr>
        <w:autoSpaceDE w:val="0"/>
        <w:autoSpaceDN w:val="0"/>
        <w:adjustRightInd w:val="0"/>
        <w:spacing w:after="200"/>
        <w:contextualSpacing/>
        <w:jc w:val="both"/>
        <w:rPr>
          <w:rFonts w:cs="Times New Roman"/>
          <w:color w:val="000000"/>
          <w:sz w:val="20"/>
          <w:szCs w:val="20"/>
        </w:rPr>
      </w:pPr>
      <w:r w:rsidRPr="0019181B">
        <w:rPr>
          <w:rFonts w:cs="Times New Roman"/>
          <w:color w:val="000000"/>
          <w:sz w:val="20"/>
          <w:szCs w:val="20"/>
        </w:rPr>
        <w:t>Zmena Zmluvy</w:t>
      </w:r>
      <w:r w:rsidR="005C3645" w:rsidRPr="0019181B">
        <w:rPr>
          <w:rFonts w:cs="Times New Roman"/>
          <w:color w:val="000000"/>
          <w:sz w:val="20"/>
          <w:szCs w:val="20"/>
        </w:rPr>
        <w:t xml:space="preserve"> v rozsahu zmluvne dohodnutých </w:t>
      </w:r>
      <w:proofErr w:type="spellStart"/>
      <w:r w:rsidR="005C3645" w:rsidRPr="0019181B">
        <w:rPr>
          <w:rFonts w:cs="Times New Roman"/>
          <w:color w:val="000000"/>
          <w:sz w:val="20"/>
          <w:szCs w:val="20"/>
        </w:rPr>
        <w:t>indexačných</w:t>
      </w:r>
      <w:proofErr w:type="spellEnd"/>
      <w:r w:rsidRPr="0019181B">
        <w:rPr>
          <w:rFonts w:cs="Times New Roman"/>
          <w:color w:val="000000"/>
          <w:sz w:val="20"/>
          <w:szCs w:val="20"/>
        </w:rPr>
        <w:t xml:space="preserve"> mechanizmov (aplikovanie </w:t>
      </w:r>
      <w:r w:rsidRPr="0019181B" w:rsidDel="00FE521C">
        <w:rPr>
          <w:rFonts w:cs="Times New Roman"/>
          <w:color w:val="000000"/>
          <w:sz w:val="20"/>
          <w:szCs w:val="20"/>
        </w:rPr>
        <w:t>§ 18 ods. 1 písm. a)</w:t>
      </w:r>
      <w:r w:rsidR="00540DA5" w:rsidRPr="0019181B">
        <w:rPr>
          <w:rFonts w:cs="Times New Roman"/>
          <w:color w:val="000000"/>
          <w:sz w:val="20"/>
          <w:szCs w:val="20"/>
        </w:rPr>
        <w:t xml:space="preserve"> ZVO) - pre stavby, pri ktorých už prebehol proces verejného obstarávania, a ktoré sú momentálne riadne realizované na základe existujúcich Zmlúv na uskutočnenie stavebných prác je rozhodujúce, či sa mechanizmus indexácie cien v zmysle </w:t>
      </w:r>
      <w:r w:rsidR="00085E1B" w:rsidRPr="0019181B">
        <w:rPr>
          <w:rFonts w:cs="Times New Roman"/>
          <w:color w:val="000000"/>
          <w:sz w:val="20"/>
          <w:szCs w:val="20"/>
        </w:rPr>
        <w:t xml:space="preserve">MP MDV SR č. 06/2018 resp. </w:t>
      </w:r>
      <w:r w:rsidR="00540DA5" w:rsidRPr="0019181B">
        <w:rPr>
          <w:rFonts w:cs="Times New Roman"/>
          <w:color w:val="000000"/>
          <w:sz w:val="20"/>
          <w:szCs w:val="20"/>
        </w:rPr>
        <w:t xml:space="preserve">MP MDV SR č. 19/2022 riadne premietol do príslušnej Zmluvy. Ak tomu tak bolo, tak takúto Zmluvu možno zmeniť počas jej trvania bez nového verejného obstarávania, lebo obsahuje jasné, presné a jednoznačné podmienky jej úpravy, vrátane úpravy ceny alebo opcie, rozsahu, povahy možných úprav a opcií a podmienok ich uplatnenia (§ 18 ods. 1 písm. a) zákona o verejnom obstarávaní). Prijímateľ pri vyčísľovaní prípadných </w:t>
      </w:r>
      <w:proofErr w:type="spellStart"/>
      <w:r w:rsidR="00540DA5" w:rsidRPr="0019181B">
        <w:rPr>
          <w:rFonts w:cs="Times New Roman"/>
          <w:color w:val="000000"/>
          <w:sz w:val="20"/>
          <w:szCs w:val="20"/>
        </w:rPr>
        <w:t>indexačných</w:t>
      </w:r>
      <w:proofErr w:type="spellEnd"/>
      <w:r w:rsidR="00540DA5" w:rsidRPr="0019181B">
        <w:rPr>
          <w:rFonts w:cs="Times New Roman"/>
          <w:color w:val="000000"/>
          <w:sz w:val="20"/>
          <w:szCs w:val="20"/>
        </w:rPr>
        <w:t xml:space="preserve"> nárokov v týchto prípadoch postupuje podľa existujúcich platných ustanovení Zmluvy. V tomto prípade sa z</w:t>
      </w:r>
      <w:r w:rsidR="00540DA5" w:rsidRPr="0019181B" w:rsidDel="00FE521C">
        <w:rPr>
          <w:rFonts w:cs="Times New Roman"/>
          <w:color w:val="000000"/>
          <w:sz w:val="20"/>
          <w:szCs w:val="20"/>
        </w:rPr>
        <w:t xml:space="preserve">mena zmluvy </w:t>
      </w:r>
      <w:r w:rsidR="00540DA5" w:rsidRPr="0019181B">
        <w:rPr>
          <w:rFonts w:cs="Times New Roman"/>
          <w:color w:val="000000"/>
          <w:sz w:val="20"/>
          <w:szCs w:val="20"/>
        </w:rPr>
        <w:t>vykonáva v zmysle</w:t>
      </w:r>
      <w:r w:rsidR="00540DA5" w:rsidRPr="0019181B" w:rsidDel="00FE521C">
        <w:rPr>
          <w:rFonts w:cs="Times New Roman"/>
          <w:color w:val="000000"/>
          <w:sz w:val="20"/>
          <w:szCs w:val="20"/>
        </w:rPr>
        <w:t xml:space="preserve"> § 18 ods. 1 písm. a) zákona o verejnom obstarávaní</w:t>
      </w:r>
      <w:r w:rsidR="00540DA5" w:rsidRPr="0019181B">
        <w:rPr>
          <w:rFonts w:cs="Times New Roman"/>
          <w:color w:val="000000"/>
          <w:sz w:val="20"/>
          <w:szCs w:val="20"/>
        </w:rPr>
        <w:t>.</w:t>
      </w:r>
    </w:p>
    <w:p w14:paraId="66584DE8" w14:textId="77777777" w:rsidR="00540DA5" w:rsidRPr="0019181B" w:rsidRDefault="00540DA5" w:rsidP="00540DA5">
      <w:pPr>
        <w:pStyle w:val="Odsekzoznamu"/>
        <w:autoSpaceDE w:val="0"/>
        <w:autoSpaceDN w:val="0"/>
        <w:adjustRightInd w:val="0"/>
        <w:spacing w:after="200"/>
        <w:contextualSpacing/>
        <w:jc w:val="both"/>
        <w:rPr>
          <w:rFonts w:cs="Times New Roman"/>
          <w:color w:val="000000"/>
          <w:sz w:val="20"/>
          <w:szCs w:val="20"/>
        </w:rPr>
      </w:pPr>
    </w:p>
    <w:p w14:paraId="64B1A20F" w14:textId="77777777" w:rsidR="00F10080" w:rsidRPr="0019181B" w:rsidRDefault="00F10080" w:rsidP="00F12D78">
      <w:pPr>
        <w:pStyle w:val="Odsekzoznamu"/>
        <w:numPr>
          <w:ilvl w:val="0"/>
          <w:numId w:val="4"/>
        </w:numPr>
        <w:autoSpaceDE w:val="0"/>
        <w:autoSpaceDN w:val="0"/>
        <w:adjustRightInd w:val="0"/>
        <w:spacing w:after="200"/>
        <w:contextualSpacing/>
        <w:jc w:val="both"/>
        <w:rPr>
          <w:rFonts w:cs="Times New Roman"/>
          <w:color w:val="000000"/>
          <w:sz w:val="20"/>
          <w:szCs w:val="20"/>
        </w:rPr>
      </w:pPr>
      <w:r w:rsidRPr="0019181B">
        <w:rPr>
          <w:rFonts w:cs="Times New Roman"/>
          <w:color w:val="000000"/>
          <w:sz w:val="20"/>
          <w:szCs w:val="20"/>
        </w:rPr>
        <w:t>Zmena Zmluvy, ktorá neobsahuje mechanizmy</w:t>
      </w:r>
      <w:r w:rsidR="005C3645" w:rsidRPr="0019181B">
        <w:rPr>
          <w:rFonts w:cs="Times New Roman"/>
          <w:color w:val="000000"/>
          <w:sz w:val="20"/>
          <w:szCs w:val="20"/>
        </w:rPr>
        <w:t xml:space="preserve"> indexácie</w:t>
      </w:r>
      <w:r w:rsidRPr="0019181B">
        <w:rPr>
          <w:rFonts w:cs="Times New Roman"/>
          <w:color w:val="000000"/>
          <w:sz w:val="20"/>
          <w:szCs w:val="20"/>
        </w:rPr>
        <w:t>, resp. zmena Zmluvy nad rámec zmluvne dohodnutých mechanizmov</w:t>
      </w:r>
      <w:r w:rsidR="005C3645" w:rsidRPr="0019181B">
        <w:rPr>
          <w:rFonts w:cs="Times New Roman"/>
          <w:color w:val="000000"/>
          <w:sz w:val="20"/>
          <w:szCs w:val="20"/>
        </w:rPr>
        <w:t xml:space="preserve"> indexácie</w:t>
      </w:r>
      <w:r w:rsidRPr="0019181B">
        <w:rPr>
          <w:rFonts w:cs="Times New Roman"/>
          <w:color w:val="000000"/>
          <w:sz w:val="20"/>
          <w:szCs w:val="20"/>
        </w:rPr>
        <w:t xml:space="preserve"> (aplikovanie § 18 ods. 3 písm. a), resp. § 18 ods. 1 písm. c) ZVO);</w:t>
      </w:r>
    </w:p>
    <w:p w14:paraId="0DA2FF0E" w14:textId="77777777" w:rsidR="00F10080" w:rsidRPr="0019181B" w:rsidRDefault="00F10080" w:rsidP="00F12D78">
      <w:pPr>
        <w:pStyle w:val="Odsekzoznamu"/>
        <w:autoSpaceDE w:val="0"/>
        <w:autoSpaceDN w:val="0"/>
        <w:adjustRightInd w:val="0"/>
        <w:jc w:val="both"/>
        <w:rPr>
          <w:color w:val="000000"/>
          <w:sz w:val="20"/>
          <w:szCs w:val="20"/>
        </w:rPr>
      </w:pPr>
    </w:p>
    <w:p w14:paraId="411F7B40" w14:textId="77777777" w:rsidR="00F10080" w:rsidRPr="0019181B" w:rsidRDefault="00F10080" w:rsidP="00F12D78">
      <w:pPr>
        <w:pStyle w:val="Default"/>
        <w:jc w:val="both"/>
        <w:rPr>
          <w:rFonts w:ascii="Calibri" w:hAnsi="Calibri"/>
          <w:b/>
          <w:i/>
          <w:sz w:val="20"/>
          <w:szCs w:val="20"/>
        </w:rPr>
      </w:pPr>
      <w:r w:rsidRPr="0019181B">
        <w:rPr>
          <w:rFonts w:ascii="Calibri" w:hAnsi="Calibri"/>
          <w:b/>
          <w:i/>
          <w:sz w:val="20"/>
          <w:szCs w:val="20"/>
        </w:rPr>
        <w:t xml:space="preserve">Zmena zmluvy de </w:t>
      </w:r>
      <w:proofErr w:type="spellStart"/>
      <w:r w:rsidRPr="0019181B">
        <w:rPr>
          <w:rFonts w:ascii="Calibri" w:hAnsi="Calibri"/>
          <w:b/>
          <w:i/>
          <w:sz w:val="20"/>
          <w:szCs w:val="20"/>
        </w:rPr>
        <w:t>minimis</w:t>
      </w:r>
      <w:proofErr w:type="spellEnd"/>
      <w:r w:rsidRPr="0019181B">
        <w:rPr>
          <w:rFonts w:ascii="Calibri" w:hAnsi="Calibri"/>
          <w:b/>
          <w:i/>
          <w:sz w:val="20"/>
          <w:szCs w:val="20"/>
        </w:rPr>
        <w:t xml:space="preserve"> - postup podľa § 18 ods. 3 ZVO</w:t>
      </w:r>
    </w:p>
    <w:p w14:paraId="6FC824CF" w14:textId="77777777" w:rsidR="00F10080" w:rsidRPr="0019181B" w:rsidRDefault="00F10080" w:rsidP="00F12D78">
      <w:pPr>
        <w:pStyle w:val="Default"/>
        <w:jc w:val="both"/>
        <w:rPr>
          <w:rFonts w:ascii="Calibri" w:hAnsi="Calibri"/>
          <w:sz w:val="20"/>
          <w:szCs w:val="20"/>
        </w:rPr>
      </w:pPr>
      <w:r w:rsidRPr="0019181B">
        <w:rPr>
          <w:rFonts w:ascii="Calibri" w:hAnsi="Calibri"/>
          <w:sz w:val="20"/>
          <w:szCs w:val="20"/>
        </w:rPr>
        <w:lastRenderedPageBreak/>
        <w:t xml:space="preserve">So zreteľom na svoje potreby, princípy verejného obstarávania (§ 10 ods. 2 ZVO), zásady subsidiarity a proporcionality, by verejný obstarávateľ alebo obstarávateľ mal pred postupom podľa § 18 ods. 1 písm. c) ZVO zvažovať možnosť, či nie je postačujúci (a zároveň odôvodnený) postup podľa § 18 ods. 3 ZVO – tzv. zmeny zmluvy de </w:t>
      </w:r>
      <w:proofErr w:type="spellStart"/>
      <w:r w:rsidRPr="0019181B">
        <w:rPr>
          <w:rFonts w:ascii="Calibri" w:hAnsi="Calibri"/>
          <w:sz w:val="20"/>
          <w:szCs w:val="20"/>
        </w:rPr>
        <w:t>minimis</w:t>
      </w:r>
      <w:proofErr w:type="spellEnd"/>
      <w:r w:rsidRPr="0019181B">
        <w:rPr>
          <w:rFonts w:ascii="Calibri" w:hAnsi="Calibri"/>
          <w:sz w:val="20"/>
          <w:szCs w:val="20"/>
        </w:rPr>
        <w:t xml:space="preserve">. Ustanovenie § 18 ods. 3 písm. a) zákona o verejnom obstarávaní ohľadom zmeny zmluvy malého rozsahu, tzv. zmeny de </w:t>
      </w:r>
      <w:proofErr w:type="spellStart"/>
      <w:r w:rsidRPr="0019181B">
        <w:rPr>
          <w:rFonts w:ascii="Calibri" w:hAnsi="Calibri"/>
          <w:sz w:val="20"/>
          <w:szCs w:val="20"/>
        </w:rPr>
        <w:t>minimis</w:t>
      </w:r>
      <w:proofErr w:type="spellEnd"/>
      <w:r w:rsidRPr="0019181B">
        <w:rPr>
          <w:rFonts w:ascii="Calibri" w:hAnsi="Calibri"/>
          <w:sz w:val="20"/>
          <w:szCs w:val="20"/>
        </w:rPr>
        <w:t xml:space="preserve"> (odvodené z článku 72 bod 2 Smernice 2014/24/EÚ), v zmysle ktorého zmluvu, rámcovú dohodu alebo koncesnú zmluvu možno zmeniť počas jej trvania bez nového verejného obstarávania aj vtedy, ak hodnota všetkých zmien je nižšia ako finančný limit podľa § 5 ods. 2, ak ide o zmluvu a rámcovú dohodu, alebo podľa § 5 ods. 7, ak ide o koncesnú zmluvu, a zároveň je nižšia ako 15% hodnoty pôvodnej zmluvy alebo rámcovej dohody, ak ide o zákazku na uskutočnenie stavebných prác. Ak sú splnené zákonné predpoklady, tak </w:t>
      </w:r>
      <w:r w:rsidR="004D3407" w:rsidRPr="0019181B">
        <w:rPr>
          <w:rFonts w:ascii="Calibri" w:hAnsi="Calibri"/>
          <w:sz w:val="20"/>
          <w:szCs w:val="20"/>
        </w:rPr>
        <w:t>MD SR</w:t>
      </w:r>
      <w:r w:rsidRPr="0019181B">
        <w:rPr>
          <w:rFonts w:ascii="Calibri" w:hAnsi="Calibri"/>
          <w:sz w:val="20"/>
          <w:szCs w:val="20"/>
        </w:rPr>
        <w:t xml:space="preserve"> odporúča pri uspokojovaní finančných nárokov zhotovit</w:t>
      </w:r>
      <w:r w:rsidR="005C3645" w:rsidRPr="0019181B">
        <w:rPr>
          <w:rFonts w:ascii="Calibri" w:hAnsi="Calibri"/>
          <w:sz w:val="20"/>
          <w:szCs w:val="20"/>
        </w:rPr>
        <w:t xml:space="preserve">eľov v súvislosti s aplikáciou </w:t>
      </w:r>
      <w:proofErr w:type="spellStart"/>
      <w:r w:rsidR="005C3645" w:rsidRPr="0019181B">
        <w:rPr>
          <w:rFonts w:ascii="Calibri" w:hAnsi="Calibri"/>
          <w:sz w:val="20"/>
          <w:szCs w:val="20"/>
        </w:rPr>
        <w:t>indexačných</w:t>
      </w:r>
      <w:proofErr w:type="spellEnd"/>
      <w:r w:rsidR="005C3645" w:rsidRPr="0019181B">
        <w:rPr>
          <w:rFonts w:ascii="Calibri" w:hAnsi="Calibri"/>
          <w:sz w:val="20"/>
          <w:szCs w:val="20"/>
        </w:rPr>
        <w:t xml:space="preserve"> </w:t>
      </w:r>
      <w:r w:rsidRPr="0019181B">
        <w:rPr>
          <w:rFonts w:ascii="Calibri" w:hAnsi="Calibri"/>
          <w:sz w:val="20"/>
          <w:szCs w:val="20"/>
        </w:rPr>
        <w:t>mechanizmov využívať tento § ZVO.</w:t>
      </w:r>
    </w:p>
    <w:p w14:paraId="6C38FBE1" w14:textId="77777777" w:rsidR="00F10080" w:rsidRPr="0019181B" w:rsidRDefault="00F10080" w:rsidP="00F12D78">
      <w:pPr>
        <w:pStyle w:val="Default"/>
        <w:jc w:val="both"/>
        <w:rPr>
          <w:rFonts w:ascii="Calibri" w:hAnsi="Calibri"/>
          <w:sz w:val="20"/>
          <w:szCs w:val="20"/>
        </w:rPr>
      </w:pPr>
    </w:p>
    <w:p w14:paraId="6123C91E" w14:textId="77777777" w:rsidR="00F10080" w:rsidRPr="0019181B" w:rsidRDefault="00F10080" w:rsidP="00F12D78">
      <w:pPr>
        <w:pStyle w:val="Default"/>
        <w:jc w:val="both"/>
        <w:rPr>
          <w:rFonts w:ascii="Calibri" w:hAnsi="Calibri"/>
          <w:b/>
          <w:i/>
          <w:sz w:val="20"/>
          <w:szCs w:val="20"/>
        </w:rPr>
      </w:pPr>
      <w:r w:rsidRPr="0019181B">
        <w:rPr>
          <w:rFonts w:ascii="Calibri" w:hAnsi="Calibri"/>
          <w:b/>
          <w:i/>
          <w:sz w:val="20"/>
          <w:szCs w:val="20"/>
        </w:rPr>
        <w:t>Zmena zmluvy podľa § 18 ods. 1 písm. c) ZVO</w:t>
      </w:r>
    </w:p>
    <w:p w14:paraId="34E770C5" w14:textId="77777777" w:rsidR="00F10080" w:rsidRPr="0019181B" w:rsidRDefault="00F10080" w:rsidP="00F12D78">
      <w:pPr>
        <w:pStyle w:val="Default"/>
        <w:jc w:val="both"/>
        <w:rPr>
          <w:rFonts w:ascii="Calibri" w:hAnsi="Calibri"/>
          <w:sz w:val="20"/>
          <w:szCs w:val="20"/>
        </w:rPr>
      </w:pPr>
      <w:r w:rsidRPr="0019181B">
        <w:rPr>
          <w:rFonts w:ascii="Calibri" w:hAnsi="Calibri"/>
          <w:sz w:val="20"/>
          <w:szCs w:val="20"/>
        </w:rPr>
        <w:t xml:space="preserve">V prípadoch, ak verejný obstarávateľ/obstarávateľ (prijímateľ) nevie aplikovať zmenu zmluvy de </w:t>
      </w:r>
      <w:proofErr w:type="spellStart"/>
      <w:r w:rsidRPr="0019181B">
        <w:rPr>
          <w:rFonts w:ascii="Calibri" w:hAnsi="Calibri"/>
          <w:sz w:val="20"/>
          <w:szCs w:val="20"/>
        </w:rPr>
        <w:t>minimis</w:t>
      </w:r>
      <w:proofErr w:type="spellEnd"/>
      <w:r w:rsidRPr="0019181B">
        <w:rPr>
          <w:rFonts w:ascii="Calibri" w:hAnsi="Calibri"/>
          <w:sz w:val="20"/>
          <w:szCs w:val="20"/>
        </w:rPr>
        <w:t xml:space="preserve">, resp. zmenu zmluvy podľa § 18 ods. 1 písm. a) zákona o verejnom obstarávaní z dôvodu, že Zmluva neobsahuje mechanizmus </w:t>
      </w:r>
      <w:r w:rsidR="0044687D" w:rsidRPr="0019181B">
        <w:rPr>
          <w:rFonts w:ascii="Calibri" w:hAnsi="Calibri"/>
          <w:sz w:val="20"/>
          <w:szCs w:val="20"/>
        </w:rPr>
        <w:t>indexácie</w:t>
      </w:r>
      <w:r w:rsidRPr="0019181B">
        <w:rPr>
          <w:rFonts w:ascii="Calibri" w:hAnsi="Calibri"/>
          <w:sz w:val="20"/>
          <w:szCs w:val="20"/>
        </w:rPr>
        <w:t xml:space="preserve"> cien, tak v týchto prípadoch je možné navyšovať hodnoty plnenia zmlúv podľa § 18 ods. 1 písm. c) zákona o verejnom obstarávaní prostredníctvom aplikácie postupov uvedených vo Všeobecnom metodickom usmernení Úradu pre verejné obstarávanie k aplikácii § 18 ods. 1 písm. c) zákona č. 343/2015 Z. z. o verejnom obstarávaní a o zmene a doplnení niektorých zákonov (ďalej len „VMU  ÚVO 6/2022“)</w:t>
      </w:r>
      <w:r w:rsidRPr="0019181B">
        <w:rPr>
          <w:rStyle w:val="Odkaznapoznmkupodiarou"/>
          <w:rFonts w:ascii="Calibri" w:hAnsi="Calibri"/>
          <w:sz w:val="20"/>
          <w:szCs w:val="20"/>
        </w:rPr>
        <w:footnoteReference w:id="3"/>
      </w:r>
      <w:r w:rsidRPr="0019181B">
        <w:rPr>
          <w:rFonts w:ascii="Calibri" w:hAnsi="Calibri"/>
          <w:sz w:val="20"/>
          <w:szCs w:val="20"/>
        </w:rPr>
        <w:t xml:space="preserve"> zo dňa 16. 05. 2022.</w:t>
      </w:r>
    </w:p>
    <w:p w14:paraId="2DDE0C7C" w14:textId="77777777" w:rsidR="00F10080" w:rsidRPr="0019181B" w:rsidRDefault="00F10080" w:rsidP="00F12D78">
      <w:pPr>
        <w:autoSpaceDE w:val="0"/>
        <w:autoSpaceDN w:val="0"/>
        <w:adjustRightInd w:val="0"/>
        <w:spacing w:before="120" w:line="240" w:lineRule="auto"/>
        <w:jc w:val="both"/>
        <w:rPr>
          <w:rFonts w:ascii="Calibri" w:hAnsi="Calibri" w:cs="Times New Roman"/>
          <w:color w:val="000000"/>
          <w:sz w:val="20"/>
          <w:szCs w:val="20"/>
        </w:rPr>
      </w:pPr>
      <w:r w:rsidRPr="0019181B">
        <w:rPr>
          <w:rFonts w:ascii="Calibri" w:hAnsi="Calibri" w:cs="Times New Roman"/>
          <w:color w:val="000000"/>
          <w:sz w:val="20"/>
          <w:szCs w:val="20"/>
        </w:rPr>
        <w:t>V nadväznosti na VMU ÚVO 6/2022, vydalo MDV SR metodický pokyn MDV SR č. 27/2022. Pre uplatňovanie dodatočných nárokov zhotoviteľov vzhľadom na preukázateľne nepredvídateľné nárasty cien stavebných materiálov tak, aby bola splnená podmienka preukázania príčinnej súvislosti medzi skokovým nepredvídateľným nárastom vybraných stavebných materiálov spôsobeným pandémiou COVID-19 a vojnovým konfliktom na Ukrajine, postupujú prijímatelia podľa procesných postupov definovaných v tomto MP MDV SR č. 27/2022.</w:t>
      </w:r>
    </w:p>
    <w:p w14:paraId="3A91BF7F" w14:textId="77777777" w:rsidR="00F10080" w:rsidRPr="0019181B" w:rsidRDefault="00F10080" w:rsidP="00F12D78">
      <w:pPr>
        <w:spacing w:line="240" w:lineRule="auto"/>
        <w:jc w:val="both"/>
        <w:rPr>
          <w:rFonts w:ascii="Calibri" w:hAnsi="Calibri" w:cs="Times New Roman"/>
          <w:color w:val="000000"/>
          <w:sz w:val="20"/>
          <w:szCs w:val="20"/>
        </w:rPr>
      </w:pPr>
      <w:r w:rsidRPr="0019181B">
        <w:rPr>
          <w:rFonts w:ascii="Calibri" w:hAnsi="Calibri" w:cs="Times New Roman"/>
          <w:color w:val="000000"/>
          <w:sz w:val="20"/>
          <w:szCs w:val="20"/>
        </w:rPr>
        <w:t xml:space="preserve">Prijímateľ pri príprave dodatku k Zmluve postupuje prostredníctvom aplikácie postupov uvedených vo VMU ÚVO 6/2022, ktoré bližšie konkretizuje podmienky prípustnosti uzavretia dodatkov k zmluvám podľa § 18 ods. 1 písm. c) zákona č. 343/2015 Z. z. o verejnom obstarávaní v súvislosti s mimoriadnymi situáciami, ktorými sú: </w:t>
      </w:r>
    </w:p>
    <w:p w14:paraId="046C4BCC" w14:textId="77777777" w:rsidR="00F10080" w:rsidRPr="0019181B" w:rsidRDefault="00F10080" w:rsidP="006E156C">
      <w:pPr>
        <w:pStyle w:val="Odsekzoznamu"/>
        <w:numPr>
          <w:ilvl w:val="0"/>
          <w:numId w:val="11"/>
        </w:numPr>
        <w:jc w:val="both"/>
        <w:rPr>
          <w:rFonts w:cs="Times New Roman"/>
          <w:color w:val="000000"/>
          <w:sz w:val="20"/>
          <w:szCs w:val="20"/>
        </w:rPr>
      </w:pPr>
      <w:r w:rsidRPr="0019181B">
        <w:rPr>
          <w:rFonts w:cs="Times New Roman"/>
          <w:color w:val="000000"/>
          <w:sz w:val="20"/>
          <w:szCs w:val="20"/>
        </w:rPr>
        <w:t>situácia vyvolaná ochorením COVID-19,</w:t>
      </w:r>
    </w:p>
    <w:p w14:paraId="49A490B9" w14:textId="77777777" w:rsidR="00F10080" w:rsidRPr="0019181B" w:rsidRDefault="00F10080" w:rsidP="006E156C">
      <w:pPr>
        <w:pStyle w:val="Odsekzoznamu"/>
        <w:numPr>
          <w:ilvl w:val="0"/>
          <w:numId w:val="11"/>
        </w:numPr>
        <w:jc w:val="both"/>
        <w:rPr>
          <w:rFonts w:cs="Times New Roman"/>
          <w:color w:val="000000"/>
          <w:sz w:val="20"/>
          <w:szCs w:val="20"/>
        </w:rPr>
      </w:pPr>
      <w:r w:rsidRPr="0019181B">
        <w:rPr>
          <w:rFonts w:cs="Times New Roman"/>
          <w:color w:val="000000"/>
          <w:sz w:val="20"/>
          <w:szCs w:val="20"/>
        </w:rPr>
        <w:t xml:space="preserve">situácia vyvolaná vojnovým konfliktom medzi Ruskou federáciou a Ukrajinou, </w:t>
      </w:r>
    </w:p>
    <w:p w14:paraId="4950EB37" w14:textId="77777777" w:rsidR="00F843FB" w:rsidRPr="0019181B" w:rsidRDefault="00F10080" w:rsidP="006E156C">
      <w:pPr>
        <w:pStyle w:val="Odsekzoznamu"/>
        <w:numPr>
          <w:ilvl w:val="0"/>
          <w:numId w:val="11"/>
        </w:numPr>
        <w:jc w:val="both"/>
        <w:rPr>
          <w:rFonts w:cs="Times New Roman"/>
          <w:color w:val="000000"/>
          <w:sz w:val="20"/>
          <w:szCs w:val="20"/>
        </w:rPr>
      </w:pPr>
      <w:r w:rsidRPr="0019181B">
        <w:rPr>
          <w:rFonts w:cs="Times New Roman"/>
          <w:color w:val="000000"/>
          <w:sz w:val="20"/>
          <w:szCs w:val="20"/>
        </w:rPr>
        <w:t>v nadväznosti na vyššie uvedené aj aktuálny (nestabilný / negatívny) cenový vývoj na trhoch s niektorými komoditami.</w:t>
      </w:r>
    </w:p>
    <w:p w14:paraId="405C66EF" w14:textId="77777777" w:rsidR="00893642" w:rsidRPr="0019181B" w:rsidRDefault="00893642" w:rsidP="00893642">
      <w:pPr>
        <w:spacing w:after="0" w:line="240" w:lineRule="auto"/>
        <w:ind w:left="720"/>
        <w:jc w:val="both"/>
        <w:rPr>
          <w:rFonts w:ascii="Calibri" w:hAnsi="Calibri" w:cs="Times New Roman"/>
          <w:color w:val="000000"/>
          <w:sz w:val="20"/>
          <w:szCs w:val="20"/>
        </w:rPr>
      </w:pPr>
    </w:p>
    <w:p w14:paraId="33E5C361" w14:textId="77777777" w:rsidR="00F843FB" w:rsidRPr="0019181B" w:rsidRDefault="00612A91" w:rsidP="00893642">
      <w:pPr>
        <w:pBdr>
          <w:top w:val="single" w:sz="4" w:space="1" w:color="auto"/>
          <w:left w:val="single" w:sz="4" w:space="4" w:color="auto"/>
          <w:bottom w:val="single" w:sz="4" w:space="1" w:color="auto"/>
          <w:right w:val="single" w:sz="4" w:space="4" w:color="auto"/>
        </w:pBdr>
        <w:autoSpaceDE w:val="0"/>
        <w:autoSpaceDN w:val="0"/>
        <w:adjustRightInd w:val="0"/>
        <w:spacing w:before="120" w:line="240" w:lineRule="auto"/>
        <w:jc w:val="both"/>
        <w:rPr>
          <w:rFonts w:ascii="Calibri" w:hAnsi="Calibri" w:cs="Times New Roman"/>
          <w:color w:val="000000"/>
          <w:sz w:val="20"/>
          <w:szCs w:val="20"/>
        </w:rPr>
      </w:pPr>
      <w:r w:rsidRPr="0019181B">
        <w:rPr>
          <w:rFonts w:ascii="Calibri" w:hAnsi="Calibri" w:cs="Times New Roman"/>
          <w:color w:val="000000"/>
          <w:sz w:val="20"/>
          <w:szCs w:val="20"/>
        </w:rPr>
        <w:t xml:space="preserve">Upozornenie: </w:t>
      </w:r>
      <w:r w:rsidR="004D3407" w:rsidRPr="0019181B">
        <w:rPr>
          <w:rFonts w:ascii="Calibri" w:hAnsi="Calibri" w:cs="Times New Roman"/>
          <w:color w:val="000000"/>
          <w:sz w:val="20"/>
          <w:szCs w:val="20"/>
        </w:rPr>
        <w:t>MD SR</w:t>
      </w:r>
      <w:r w:rsidR="00F843FB" w:rsidRPr="0019181B">
        <w:rPr>
          <w:rFonts w:ascii="Calibri" w:hAnsi="Calibri" w:cs="Times New Roman"/>
          <w:color w:val="000000"/>
          <w:sz w:val="20"/>
          <w:szCs w:val="20"/>
        </w:rPr>
        <w:t xml:space="preserve"> bude </w:t>
      </w:r>
      <w:r w:rsidR="00F843FB" w:rsidRPr="0019181B">
        <w:rPr>
          <w:rFonts w:ascii="Calibri" w:hAnsi="Calibri" w:cs="Times New Roman"/>
          <w:color w:val="000000"/>
          <w:sz w:val="20"/>
          <w:szCs w:val="20"/>
          <w:u w:val="single"/>
        </w:rPr>
        <w:t>každú zmenu zmluvy, rámcovej dohody a koncesnej zmluvy posudzovať individuálne</w:t>
      </w:r>
      <w:r w:rsidR="00F843FB" w:rsidRPr="0019181B">
        <w:rPr>
          <w:rFonts w:ascii="Calibri" w:hAnsi="Calibri" w:cs="Times New Roman"/>
          <w:color w:val="000000"/>
          <w:sz w:val="20"/>
          <w:szCs w:val="20"/>
        </w:rPr>
        <w:t xml:space="preserve"> vo väzbe na zmluvné ustanovenia konkrétnej zmluvy, ako aj ostatné okolnosti prípadu so zohľadnením princípov uvedených v ZVO a v tomto dokumente. </w:t>
      </w:r>
      <w:r w:rsidR="00F843FB" w:rsidRPr="0019181B">
        <w:rPr>
          <w:rFonts w:ascii="Calibri" w:hAnsi="Calibri" w:cs="Times New Roman"/>
          <w:color w:val="000000"/>
          <w:sz w:val="20"/>
          <w:szCs w:val="20"/>
          <w:u w:val="single"/>
        </w:rPr>
        <w:t>Dôkazné bremeno preukazovania oprávnenosti danej zmeny zmluvy pritom nesie verejný obstarávateľ/obstarávateľ</w:t>
      </w:r>
      <w:r w:rsidR="00F843FB" w:rsidRPr="0019181B">
        <w:rPr>
          <w:rFonts w:ascii="Calibri" w:hAnsi="Calibri" w:cs="Times New Roman"/>
          <w:color w:val="000000"/>
          <w:sz w:val="20"/>
          <w:szCs w:val="20"/>
        </w:rPr>
        <w:t>, ktorý je povinný preukázať jej súladnosť s pravidlami ZVO. Je teda plne v jeho kompetencii náležite posúdiť a rozhodnúť sa, či k dodávateľom požadovanej zmene zmluvy pristúpi.</w:t>
      </w:r>
    </w:p>
    <w:p w14:paraId="108530F0" w14:textId="77777777" w:rsidR="00F843FB" w:rsidRPr="0019181B" w:rsidRDefault="00F843FB" w:rsidP="00F12D78">
      <w:pPr>
        <w:autoSpaceDE w:val="0"/>
        <w:autoSpaceDN w:val="0"/>
        <w:adjustRightInd w:val="0"/>
        <w:spacing w:line="240" w:lineRule="auto"/>
        <w:jc w:val="both"/>
        <w:rPr>
          <w:rFonts w:ascii="Calibri" w:hAnsi="Calibri"/>
          <w:color w:val="000000"/>
          <w:sz w:val="20"/>
          <w:szCs w:val="20"/>
        </w:rPr>
      </w:pPr>
    </w:p>
    <w:p w14:paraId="60B332B7" w14:textId="77777777" w:rsidR="00513EF1" w:rsidRPr="0019181B" w:rsidRDefault="00513EF1" w:rsidP="00F12D78">
      <w:pPr>
        <w:spacing w:after="0" w:line="240" w:lineRule="auto"/>
        <w:jc w:val="both"/>
        <w:rPr>
          <w:rFonts w:ascii="Calibri" w:eastAsia="Calibri" w:hAnsi="Calibri" w:cs="Times New Roman"/>
          <w:sz w:val="20"/>
          <w:szCs w:val="20"/>
          <w:lang w:eastAsia="sk-SK"/>
        </w:rPr>
      </w:pPr>
    </w:p>
    <w:p w14:paraId="55AD73EA" w14:textId="77777777" w:rsidR="00612A91" w:rsidRPr="0019181B" w:rsidRDefault="00612A91" w:rsidP="00F12D78">
      <w:pPr>
        <w:spacing w:after="0" w:line="240" w:lineRule="auto"/>
        <w:jc w:val="both"/>
        <w:rPr>
          <w:rFonts w:ascii="Calibri" w:eastAsia="Calibri" w:hAnsi="Calibri" w:cs="Times New Roman"/>
          <w:sz w:val="20"/>
          <w:szCs w:val="20"/>
          <w:lang w:eastAsia="sk-SK"/>
        </w:rPr>
      </w:pPr>
    </w:p>
    <w:p w14:paraId="7A44C540" w14:textId="7D86C792" w:rsidR="00612A91" w:rsidRPr="0019181B" w:rsidRDefault="00612A91" w:rsidP="00F12D78">
      <w:pPr>
        <w:spacing w:after="0" w:line="240" w:lineRule="auto"/>
        <w:jc w:val="both"/>
        <w:rPr>
          <w:rFonts w:ascii="Calibri" w:eastAsia="Calibri" w:hAnsi="Calibri" w:cs="Times New Roman"/>
          <w:sz w:val="20"/>
          <w:szCs w:val="20"/>
          <w:lang w:eastAsia="sk-SK"/>
        </w:rPr>
      </w:pPr>
    </w:p>
    <w:p w14:paraId="36A32559" w14:textId="2BDCA42B" w:rsidR="00744F77" w:rsidRDefault="00744F77" w:rsidP="00F12D78">
      <w:pPr>
        <w:spacing w:after="0" w:line="240" w:lineRule="auto"/>
        <w:jc w:val="both"/>
        <w:rPr>
          <w:rFonts w:ascii="Times New Roman" w:eastAsia="Calibri" w:hAnsi="Times New Roman" w:cs="Times New Roman"/>
          <w:sz w:val="24"/>
          <w:szCs w:val="24"/>
          <w:lang w:eastAsia="sk-SK"/>
        </w:rPr>
      </w:pPr>
    </w:p>
    <w:p w14:paraId="4A92E17C" w14:textId="7FE1200B" w:rsidR="00744F77" w:rsidRDefault="00744F77" w:rsidP="00F12D78">
      <w:pPr>
        <w:spacing w:after="0" w:line="240" w:lineRule="auto"/>
        <w:jc w:val="both"/>
        <w:rPr>
          <w:rFonts w:ascii="Times New Roman" w:eastAsia="Calibri" w:hAnsi="Times New Roman" w:cs="Times New Roman"/>
          <w:sz w:val="24"/>
          <w:szCs w:val="24"/>
          <w:lang w:eastAsia="sk-SK"/>
        </w:rPr>
      </w:pPr>
    </w:p>
    <w:p w14:paraId="7A974991" w14:textId="18EE3E62" w:rsidR="00744F77" w:rsidRDefault="00744F77" w:rsidP="00F12D78">
      <w:pPr>
        <w:spacing w:after="0" w:line="240" w:lineRule="auto"/>
        <w:jc w:val="both"/>
        <w:rPr>
          <w:rFonts w:ascii="Times New Roman" w:eastAsia="Calibri" w:hAnsi="Times New Roman" w:cs="Times New Roman"/>
          <w:sz w:val="24"/>
          <w:szCs w:val="24"/>
          <w:lang w:eastAsia="sk-SK"/>
        </w:rPr>
      </w:pPr>
    </w:p>
    <w:p w14:paraId="06DBEF13" w14:textId="3E6F6B98" w:rsidR="00744F77" w:rsidRDefault="00744F77" w:rsidP="00F12D78">
      <w:pPr>
        <w:spacing w:after="0" w:line="240" w:lineRule="auto"/>
        <w:jc w:val="both"/>
        <w:rPr>
          <w:rFonts w:ascii="Times New Roman" w:eastAsia="Calibri" w:hAnsi="Times New Roman" w:cs="Times New Roman"/>
          <w:sz w:val="24"/>
          <w:szCs w:val="24"/>
          <w:lang w:eastAsia="sk-SK"/>
        </w:rPr>
      </w:pPr>
    </w:p>
    <w:p w14:paraId="537F68D4" w14:textId="59E57936" w:rsidR="00744F77" w:rsidRDefault="00744F77" w:rsidP="00F12D78">
      <w:pPr>
        <w:spacing w:after="0" w:line="240" w:lineRule="auto"/>
        <w:jc w:val="both"/>
        <w:rPr>
          <w:rFonts w:ascii="Times New Roman" w:eastAsia="Calibri" w:hAnsi="Times New Roman" w:cs="Times New Roman"/>
          <w:sz w:val="24"/>
          <w:szCs w:val="24"/>
          <w:lang w:eastAsia="sk-SK"/>
        </w:rPr>
      </w:pPr>
    </w:p>
    <w:p w14:paraId="7031BC37" w14:textId="170CA378" w:rsidR="00744F77" w:rsidRDefault="00744F77" w:rsidP="00F12D78">
      <w:pPr>
        <w:spacing w:after="0" w:line="240" w:lineRule="auto"/>
        <w:jc w:val="both"/>
        <w:rPr>
          <w:rFonts w:ascii="Times New Roman" w:eastAsia="Calibri" w:hAnsi="Times New Roman" w:cs="Times New Roman"/>
          <w:sz w:val="24"/>
          <w:szCs w:val="24"/>
          <w:lang w:eastAsia="sk-SK"/>
        </w:rPr>
      </w:pPr>
    </w:p>
    <w:p w14:paraId="3B502202" w14:textId="77777777" w:rsidR="00612A91" w:rsidRDefault="00612A91" w:rsidP="00F12D78">
      <w:pPr>
        <w:spacing w:after="0" w:line="240" w:lineRule="auto"/>
        <w:jc w:val="both"/>
        <w:rPr>
          <w:rFonts w:ascii="Times New Roman" w:eastAsia="Calibri" w:hAnsi="Times New Roman" w:cs="Times New Roman"/>
          <w:sz w:val="24"/>
          <w:szCs w:val="24"/>
          <w:lang w:eastAsia="sk-SK"/>
        </w:rPr>
      </w:pPr>
    </w:p>
    <w:tbl>
      <w:tblPr>
        <w:tblW w:w="5000" w:type="pct"/>
        <w:tblCellMar>
          <w:left w:w="70" w:type="dxa"/>
          <w:right w:w="70" w:type="dxa"/>
        </w:tblCellMar>
        <w:tblLook w:val="04A0" w:firstRow="1" w:lastRow="0" w:firstColumn="1" w:lastColumn="0" w:noHBand="0" w:noVBand="1"/>
      </w:tblPr>
      <w:tblGrid>
        <w:gridCol w:w="1008"/>
        <w:gridCol w:w="2082"/>
        <w:gridCol w:w="173"/>
        <w:gridCol w:w="365"/>
        <w:gridCol w:w="173"/>
        <w:gridCol w:w="1478"/>
        <w:gridCol w:w="1478"/>
        <w:gridCol w:w="173"/>
        <w:gridCol w:w="365"/>
        <w:gridCol w:w="173"/>
        <w:gridCol w:w="801"/>
        <w:gridCol w:w="803"/>
      </w:tblGrid>
      <w:tr w:rsidR="00513EF1" w:rsidRPr="00513EF1" w14:paraId="7C894139" w14:textId="77777777" w:rsidTr="00995003">
        <w:trPr>
          <w:trHeight w:val="540"/>
        </w:trPr>
        <w:tc>
          <w:tcPr>
            <w:tcW w:w="5000" w:type="pct"/>
            <w:gridSpan w:val="12"/>
            <w:tcBorders>
              <w:top w:val="nil"/>
              <w:left w:val="nil"/>
              <w:bottom w:val="nil"/>
            </w:tcBorders>
            <w:shd w:val="clear" w:color="auto" w:fill="auto"/>
            <w:noWrap/>
            <w:vAlign w:val="bottom"/>
            <w:hideMark/>
          </w:tcPr>
          <w:p w14:paraId="0C358703" w14:textId="77777777" w:rsidR="00513EF1" w:rsidRPr="00513EF1" w:rsidRDefault="00513EF1" w:rsidP="00513EF1">
            <w:pPr>
              <w:keepNext/>
              <w:keepLines/>
              <w:spacing w:before="240" w:after="0" w:line="240" w:lineRule="auto"/>
              <w:outlineLvl w:val="0"/>
              <w:rPr>
                <w:rFonts w:ascii="Calibri Light" w:eastAsia="Times New Roman" w:hAnsi="Calibri Light" w:cs="Times New Roman"/>
                <w:b/>
                <w:color w:val="2E74B5"/>
                <w:sz w:val="20"/>
                <w:szCs w:val="20"/>
                <w:lang w:eastAsia="sk-SK"/>
              </w:rPr>
            </w:pPr>
            <w:bookmarkStart w:id="0" w:name="_Príloha_č._1"/>
            <w:bookmarkEnd w:id="0"/>
            <w:r w:rsidRPr="00513EF1">
              <w:rPr>
                <w:rFonts w:ascii="Times New Roman" w:eastAsia="Times New Roman" w:hAnsi="Times New Roman" w:cs="Times New Roman"/>
                <w:b/>
                <w:sz w:val="32"/>
                <w:szCs w:val="32"/>
                <w:lang w:eastAsia="sk-SK"/>
              </w:rPr>
              <w:t xml:space="preserve">Procesný diagram krokov - </w:t>
            </w:r>
            <w:r>
              <w:rPr>
                <w:rFonts w:ascii="Times New Roman" w:eastAsia="Times New Roman" w:hAnsi="Times New Roman" w:cs="Times New Roman"/>
                <w:b/>
                <w:sz w:val="32"/>
                <w:szCs w:val="32"/>
                <w:lang w:eastAsia="sk-SK"/>
              </w:rPr>
              <w:t>indexácia</w:t>
            </w:r>
          </w:p>
        </w:tc>
      </w:tr>
      <w:tr w:rsidR="00513EF1" w:rsidRPr="00513EF1" w14:paraId="45F9FB1D" w14:textId="77777777" w:rsidTr="00EC3A57">
        <w:trPr>
          <w:trHeight w:val="345"/>
        </w:trPr>
        <w:tc>
          <w:tcPr>
            <w:tcW w:w="543" w:type="pct"/>
            <w:tcBorders>
              <w:top w:val="nil"/>
              <w:left w:val="nil"/>
              <w:bottom w:val="nil"/>
              <w:right w:val="nil"/>
            </w:tcBorders>
            <w:shd w:val="clear" w:color="auto" w:fill="auto"/>
            <w:noWrap/>
            <w:vAlign w:val="bottom"/>
            <w:hideMark/>
          </w:tcPr>
          <w:p w14:paraId="38981E52"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1160" w:type="pct"/>
            <w:tcBorders>
              <w:top w:val="nil"/>
              <w:left w:val="nil"/>
              <w:bottom w:val="nil"/>
              <w:right w:val="nil"/>
            </w:tcBorders>
            <w:shd w:val="clear" w:color="auto" w:fill="auto"/>
            <w:noWrap/>
            <w:vAlign w:val="bottom"/>
            <w:hideMark/>
          </w:tcPr>
          <w:p w14:paraId="3ECFF7F2"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4B67D5AE"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201" w:type="pct"/>
            <w:tcBorders>
              <w:top w:val="nil"/>
              <w:left w:val="nil"/>
              <w:bottom w:val="nil"/>
              <w:right w:val="nil"/>
            </w:tcBorders>
            <w:shd w:val="clear" w:color="auto" w:fill="auto"/>
            <w:noWrap/>
            <w:vAlign w:val="bottom"/>
            <w:hideMark/>
          </w:tcPr>
          <w:p w14:paraId="697D5B16"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091C43E5"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815" w:type="pct"/>
            <w:tcBorders>
              <w:top w:val="nil"/>
              <w:left w:val="nil"/>
              <w:bottom w:val="single" w:sz="4" w:space="0" w:color="auto"/>
              <w:right w:val="nil"/>
            </w:tcBorders>
            <w:shd w:val="clear" w:color="auto" w:fill="auto"/>
            <w:noWrap/>
            <w:vAlign w:val="bottom"/>
            <w:hideMark/>
          </w:tcPr>
          <w:p w14:paraId="1C65670F"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815" w:type="pct"/>
            <w:tcBorders>
              <w:top w:val="nil"/>
              <w:left w:val="nil"/>
              <w:bottom w:val="single" w:sz="4" w:space="0" w:color="auto"/>
              <w:right w:val="nil"/>
            </w:tcBorders>
            <w:shd w:val="clear" w:color="auto" w:fill="auto"/>
            <w:noWrap/>
            <w:vAlign w:val="bottom"/>
            <w:hideMark/>
          </w:tcPr>
          <w:p w14:paraId="792F6D22"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2B7AA485"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201" w:type="pct"/>
            <w:tcBorders>
              <w:top w:val="nil"/>
              <w:left w:val="nil"/>
              <w:bottom w:val="nil"/>
              <w:right w:val="nil"/>
            </w:tcBorders>
            <w:shd w:val="clear" w:color="auto" w:fill="auto"/>
            <w:noWrap/>
            <w:vAlign w:val="bottom"/>
            <w:hideMark/>
          </w:tcPr>
          <w:p w14:paraId="1B063CD7"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5958B243"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3ABB89FC"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47A953A0"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r>
      <w:tr w:rsidR="00513EF1" w:rsidRPr="00513EF1" w14:paraId="291AE0D7" w14:textId="77777777" w:rsidTr="00EC3A57">
        <w:trPr>
          <w:trHeight w:val="660"/>
        </w:trPr>
        <w:tc>
          <w:tcPr>
            <w:tcW w:w="1702" w:type="pct"/>
            <w:gridSpan w:val="2"/>
            <w:vMerge w:val="restart"/>
            <w:tcBorders>
              <w:top w:val="single" w:sz="4" w:space="0" w:color="auto"/>
              <w:left w:val="single" w:sz="4" w:space="0" w:color="auto"/>
              <w:bottom w:val="single" w:sz="4" w:space="0" w:color="000000"/>
              <w:right w:val="single" w:sz="4" w:space="0" w:color="000000"/>
            </w:tcBorders>
            <w:shd w:val="clear" w:color="000000" w:fill="D9D9D9"/>
            <w:vAlign w:val="center"/>
            <w:hideMark/>
          </w:tcPr>
          <w:p w14:paraId="22236725" w14:textId="77777777" w:rsidR="00513EF1" w:rsidRPr="00513EF1" w:rsidRDefault="00513EF1" w:rsidP="00513EF1">
            <w:pPr>
              <w:spacing w:after="0" w:line="240" w:lineRule="auto"/>
              <w:jc w:val="center"/>
              <w:rPr>
                <w:rFonts w:ascii="Calibri" w:eastAsia="Times New Roman" w:hAnsi="Calibri" w:cs="Times New Roman"/>
                <w:b/>
                <w:bCs/>
                <w:color w:val="000000"/>
                <w:sz w:val="26"/>
                <w:szCs w:val="26"/>
                <w:lang w:eastAsia="sk-SK"/>
              </w:rPr>
            </w:pPr>
            <w:r w:rsidRPr="00513EF1">
              <w:rPr>
                <w:rFonts w:ascii="Calibri" w:eastAsia="Times New Roman" w:hAnsi="Calibri" w:cs="Times New Roman"/>
                <w:b/>
                <w:bCs/>
                <w:color w:val="000000"/>
                <w:sz w:val="26"/>
                <w:szCs w:val="26"/>
                <w:lang w:eastAsia="sk-SK"/>
              </w:rPr>
              <w:t>Obsahuje Zmluva ustanovenia MP  19/2022?</w:t>
            </w:r>
          </w:p>
        </w:tc>
        <w:tc>
          <w:tcPr>
            <w:tcW w:w="95" w:type="pct"/>
            <w:tcBorders>
              <w:top w:val="nil"/>
              <w:left w:val="nil"/>
              <w:bottom w:val="single" w:sz="4" w:space="0" w:color="auto"/>
              <w:right w:val="nil"/>
            </w:tcBorders>
            <w:shd w:val="clear" w:color="auto" w:fill="auto"/>
            <w:noWrap/>
            <w:vAlign w:val="bottom"/>
            <w:hideMark/>
          </w:tcPr>
          <w:p w14:paraId="4338C797"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r w:rsidRPr="00513EF1">
              <w:rPr>
                <w:rFonts w:ascii="Calibri" w:eastAsia="Times New Roman" w:hAnsi="Calibri" w:cs="Times New Roman"/>
                <w:color w:val="000000"/>
                <w:sz w:val="26"/>
                <w:szCs w:val="26"/>
                <w:lang w:eastAsia="sk-SK"/>
              </w:rPr>
              <w:t> </w:t>
            </w:r>
          </w:p>
        </w:tc>
        <w:tc>
          <w:tcPr>
            <w:tcW w:w="201" w:type="pct"/>
            <w:vMerge w:val="restart"/>
            <w:tcBorders>
              <w:top w:val="nil"/>
              <w:left w:val="nil"/>
              <w:bottom w:val="nil"/>
              <w:right w:val="nil"/>
            </w:tcBorders>
            <w:shd w:val="clear" w:color="auto" w:fill="auto"/>
            <w:noWrap/>
            <w:vAlign w:val="center"/>
            <w:hideMark/>
          </w:tcPr>
          <w:p w14:paraId="744DBAD4" w14:textId="77777777" w:rsidR="00513EF1" w:rsidRPr="00513EF1" w:rsidRDefault="00513EF1" w:rsidP="00513EF1">
            <w:pPr>
              <w:spacing w:after="0" w:line="240" w:lineRule="auto"/>
              <w:jc w:val="center"/>
              <w:rPr>
                <w:rFonts w:ascii="Calibri" w:eastAsia="Times New Roman" w:hAnsi="Calibri" w:cs="Times New Roman"/>
                <w:b/>
                <w:bCs/>
                <w:color w:val="000000"/>
                <w:sz w:val="26"/>
                <w:szCs w:val="26"/>
                <w:lang w:eastAsia="sk-SK"/>
              </w:rPr>
            </w:pPr>
            <w:r w:rsidRPr="00513EF1">
              <w:rPr>
                <w:rFonts w:ascii="Calibri" w:eastAsia="Times New Roman" w:hAnsi="Calibri" w:cs="Times New Roman"/>
                <w:b/>
                <w:bCs/>
                <w:color w:val="000000"/>
                <w:sz w:val="26"/>
                <w:szCs w:val="26"/>
                <w:lang w:eastAsia="sk-SK"/>
              </w:rPr>
              <w:t>áno</w:t>
            </w:r>
          </w:p>
        </w:tc>
        <w:tc>
          <w:tcPr>
            <w:tcW w:w="95" w:type="pct"/>
            <w:tcBorders>
              <w:top w:val="nil"/>
              <w:left w:val="nil"/>
              <w:bottom w:val="nil"/>
              <w:right w:val="nil"/>
            </w:tcBorders>
            <w:shd w:val="clear" w:color="auto" w:fill="auto"/>
            <w:noWrap/>
            <w:vAlign w:val="center"/>
            <w:hideMark/>
          </w:tcPr>
          <w:p w14:paraId="65054216" w14:textId="77777777" w:rsidR="00513EF1" w:rsidRPr="00513EF1" w:rsidRDefault="00513EF1" w:rsidP="00513EF1">
            <w:pPr>
              <w:spacing w:after="0" w:line="240" w:lineRule="auto"/>
              <w:jc w:val="center"/>
              <w:rPr>
                <w:rFonts w:ascii="Calibri" w:eastAsia="Times New Roman" w:hAnsi="Calibri" w:cs="Times New Roman"/>
                <w:b/>
                <w:bCs/>
                <w:color w:val="000000"/>
                <w:sz w:val="26"/>
                <w:szCs w:val="26"/>
                <w:lang w:eastAsia="sk-SK"/>
              </w:rPr>
            </w:pPr>
          </w:p>
        </w:tc>
        <w:tc>
          <w:tcPr>
            <w:tcW w:w="1630" w:type="pct"/>
            <w:gridSpan w:val="2"/>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15C53590" w14:textId="77777777" w:rsidR="00513EF1" w:rsidRPr="00513EF1" w:rsidRDefault="005C3645" w:rsidP="005C3645">
            <w:pPr>
              <w:spacing w:after="0" w:line="240" w:lineRule="auto"/>
              <w:jc w:val="center"/>
              <w:rPr>
                <w:rFonts w:ascii="Calibri" w:eastAsia="Times New Roman" w:hAnsi="Calibri" w:cs="Times New Roman"/>
                <w:b/>
                <w:bCs/>
                <w:color w:val="000000"/>
                <w:sz w:val="26"/>
                <w:szCs w:val="26"/>
                <w:lang w:eastAsia="sk-SK"/>
              </w:rPr>
            </w:pPr>
            <w:r>
              <w:rPr>
                <w:rFonts w:ascii="Calibri" w:eastAsia="Times New Roman" w:hAnsi="Calibri" w:cs="Times New Roman"/>
                <w:b/>
                <w:bCs/>
                <w:color w:val="000000"/>
                <w:sz w:val="26"/>
                <w:szCs w:val="26"/>
                <w:lang w:eastAsia="sk-SK"/>
              </w:rPr>
              <w:t>Indexuje</w:t>
            </w:r>
            <w:r w:rsidR="00513EF1" w:rsidRPr="00513EF1">
              <w:rPr>
                <w:rFonts w:ascii="Calibri" w:eastAsia="Times New Roman" w:hAnsi="Calibri" w:cs="Times New Roman"/>
                <w:b/>
                <w:bCs/>
                <w:color w:val="000000"/>
                <w:sz w:val="26"/>
                <w:szCs w:val="26"/>
                <w:lang w:eastAsia="sk-SK"/>
              </w:rPr>
              <w:t xml:space="preserve"> sa podľa ustanovení Zmluvy, </w:t>
            </w:r>
            <w:r w:rsidR="00513EF1" w:rsidRPr="00513EF1">
              <w:rPr>
                <w:rFonts w:ascii="Calibri" w:eastAsia="Times New Roman" w:hAnsi="Calibri" w:cs="Times New Roman"/>
                <w:bCs/>
                <w:color w:val="000000"/>
                <w:sz w:val="26"/>
                <w:szCs w:val="26"/>
                <w:lang w:eastAsia="sk-SK"/>
              </w:rPr>
              <w:t>(použitie MP 27/2022 nie je možné)</w:t>
            </w:r>
          </w:p>
        </w:tc>
        <w:tc>
          <w:tcPr>
            <w:tcW w:w="95" w:type="pct"/>
            <w:tcBorders>
              <w:top w:val="nil"/>
              <w:left w:val="single" w:sz="4" w:space="0" w:color="auto"/>
              <w:bottom w:val="nil"/>
              <w:right w:val="nil"/>
            </w:tcBorders>
            <w:shd w:val="clear" w:color="auto" w:fill="auto"/>
            <w:noWrap/>
            <w:vAlign w:val="bottom"/>
            <w:hideMark/>
          </w:tcPr>
          <w:p w14:paraId="49A49A8C" w14:textId="77777777" w:rsidR="00513EF1" w:rsidRPr="00513EF1" w:rsidRDefault="00513EF1" w:rsidP="00513EF1">
            <w:pPr>
              <w:spacing w:after="0" w:line="240" w:lineRule="auto"/>
              <w:jc w:val="center"/>
              <w:rPr>
                <w:rFonts w:ascii="Calibri" w:eastAsia="Times New Roman" w:hAnsi="Calibri" w:cs="Times New Roman"/>
                <w:b/>
                <w:bCs/>
                <w:color w:val="000000"/>
                <w:sz w:val="26"/>
                <w:szCs w:val="26"/>
                <w:lang w:eastAsia="sk-SK"/>
              </w:rPr>
            </w:pPr>
          </w:p>
        </w:tc>
        <w:tc>
          <w:tcPr>
            <w:tcW w:w="201" w:type="pct"/>
            <w:tcBorders>
              <w:top w:val="nil"/>
              <w:left w:val="nil"/>
              <w:bottom w:val="nil"/>
              <w:right w:val="nil"/>
            </w:tcBorders>
            <w:shd w:val="clear" w:color="auto" w:fill="auto"/>
            <w:noWrap/>
            <w:vAlign w:val="bottom"/>
            <w:hideMark/>
          </w:tcPr>
          <w:p w14:paraId="4AC9C067"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38E71D90"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1565F79B"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03D8A411"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r>
      <w:tr w:rsidR="00513EF1" w:rsidRPr="00513EF1" w14:paraId="5E14CD23" w14:textId="77777777" w:rsidTr="00EC3A57">
        <w:trPr>
          <w:trHeight w:val="660"/>
        </w:trPr>
        <w:tc>
          <w:tcPr>
            <w:tcW w:w="1702" w:type="pct"/>
            <w:gridSpan w:val="2"/>
            <w:vMerge/>
            <w:tcBorders>
              <w:top w:val="single" w:sz="4" w:space="0" w:color="auto"/>
              <w:left w:val="single" w:sz="4" w:space="0" w:color="auto"/>
              <w:bottom w:val="single" w:sz="4" w:space="0" w:color="000000"/>
              <w:right w:val="single" w:sz="4" w:space="0" w:color="000000"/>
            </w:tcBorders>
            <w:vAlign w:val="center"/>
            <w:hideMark/>
          </w:tcPr>
          <w:p w14:paraId="07306895" w14:textId="77777777" w:rsidR="00513EF1" w:rsidRPr="00513EF1" w:rsidRDefault="00513EF1" w:rsidP="00513EF1">
            <w:pPr>
              <w:spacing w:after="0" w:line="240" w:lineRule="auto"/>
              <w:rPr>
                <w:rFonts w:ascii="Calibri" w:eastAsia="Times New Roman" w:hAnsi="Calibri" w:cs="Times New Roman"/>
                <w:b/>
                <w:bCs/>
                <w:color w:val="000000"/>
                <w:sz w:val="26"/>
                <w:szCs w:val="26"/>
                <w:lang w:eastAsia="sk-SK"/>
              </w:rPr>
            </w:pPr>
          </w:p>
        </w:tc>
        <w:tc>
          <w:tcPr>
            <w:tcW w:w="95" w:type="pct"/>
            <w:tcBorders>
              <w:top w:val="nil"/>
              <w:left w:val="nil"/>
              <w:bottom w:val="nil"/>
              <w:right w:val="nil"/>
            </w:tcBorders>
            <w:shd w:val="clear" w:color="auto" w:fill="auto"/>
            <w:noWrap/>
            <w:vAlign w:val="bottom"/>
            <w:hideMark/>
          </w:tcPr>
          <w:p w14:paraId="6728D2C0"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r w:rsidRPr="00513EF1">
              <w:rPr>
                <w:rFonts w:ascii="Calibri" w:eastAsia="Times New Roman" w:hAnsi="Calibri" w:cs="Times New Roman"/>
                <w:color w:val="000000"/>
                <w:sz w:val="26"/>
                <w:szCs w:val="26"/>
                <w:lang w:eastAsia="sk-SK"/>
              </w:rPr>
              <w:t> </w:t>
            </w:r>
          </w:p>
        </w:tc>
        <w:tc>
          <w:tcPr>
            <w:tcW w:w="201" w:type="pct"/>
            <w:vMerge/>
            <w:tcBorders>
              <w:top w:val="nil"/>
              <w:left w:val="nil"/>
              <w:bottom w:val="nil"/>
              <w:right w:val="nil"/>
            </w:tcBorders>
            <w:vAlign w:val="center"/>
            <w:hideMark/>
          </w:tcPr>
          <w:p w14:paraId="2429F98D" w14:textId="77777777" w:rsidR="00513EF1" w:rsidRPr="00513EF1" w:rsidRDefault="00513EF1" w:rsidP="00513EF1">
            <w:pPr>
              <w:spacing w:after="0" w:line="240" w:lineRule="auto"/>
              <w:rPr>
                <w:rFonts w:ascii="Calibri" w:eastAsia="Times New Roman" w:hAnsi="Calibri" w:cs="Times New Roman"/>
                <w:b/>
                <w:bCs/>
                <w:color w:val="000000"/>
                <w:sz w:val="26"/>
                <w:szCs w:val="26"/>
                <w:lang w:eastAsia="sk-SK"/>
              </w:rPr>
            </w:pPr>
          </w:p>
        </w:tc>
        <w:tc>
          <w:tcPr>
            <w:tcW w:w="95" w:type="pct"/>
            <w:tcBorders>
              <w:top w:val="single" w:sz="4" w:space="0" w:color="auto"/>
              <w:left w:val="nil"/>
              <w:bottom w:val="nil"/>
              <w:right w:val="single" w:sz="4" w:space="0" w:color="auto"/>
            </w:tcBorders>
            <w:shd w:val="clear" w:color="auto" w:fill="auto"/>
            <w:noWrap/>
            <w:vAlign w:val="center"/>
            <w:hideMark/>
          </w:tcPr>
          <w:p w14:paraId="79575BFA" w14:textId="77777777" w:rsidR="00513EF1" w:rsidRPr="00513EF1" w:rsidRDefault="00513EF1" w:rsidP="00513EF1">
            <w:pPr>
              <w:spacing w:after="0" w:line="240" w:lineRule="auto"/>
              <w:jc w:val="center"/>
              <w:rPr>
                <w:rFonts w:ascii="Calibri" w:eastAsia="Times New Roman" w:hAnsi="Calibri" w:cs="Times New Roman"/>
                <w:color w:val="000000"/>
                <w:sz w:val="26"/>
                <w:szCs w:val="26"/>
                <w:lang w:eastAsia="sk-SK"/>
              </w:rPr>
            </w:pPr>
            <w:r w:rsidRPr="00513EF1">
              <w:rPr>
                <w:rFonts w:ascii="Calibri" w:eastAsia="Times New Roman" w:hAnsi="Calibri" w:cs="Times New Roman"/>
                <w:color w:val="000000"/>
                <w:sz w:val="26"/>
                <w:szCs w:val="26"/>
                <w:lang w:eastAsia="sk-SK"/>
              </w:rPr>
              <w:t> </w:t>
            </w:r>
          </w:p>
        </w:tc>
        <w:tc>
          <w:tcPr>
            <w:tcW w:w="1630" w:type="pct"/>
            <w:gridSpan w:val="2"/>
            <w:vMerge/>
            <w:tcBorders>
              <w:top w:val="single" w:sz="4" w:space="0" w:color="000000"/>
              <w:left w:val="single" w:sz="4" w:space="0" w:color="auto"/>
              <w:bottom w:val="single" w:sz="4" w:space="0" w:color="auto"/>
              <w:right w:val="single" w:sz="4" w:space="0" w:color="auto"/>
            </w:tcBorders>
            <w:vAlign w:val="center"/>
            <w:hideMark/>
          </w:tcPr>
          <w:p w14:paraId="27708A25" w14:textId="77777777" w:rsidR="00513EF1" w:rsidRPr="00513EF1" w:rsidRDefault="00513EF1" w:rsidP="00513EF1">
            <w:pPr>
              <w:spacing w:after="0" w:line="240" w:lineRule="auto"/>
              <w:rPr>
                <w:rFonts w:ascii="Calibri" w:eastAsia="Times New Roman" w:hAnsi="Calibri" w:cs="Times New Roman"/>
                <w:b/>
                <w:bCs/>
                <w:color w:val="000000"/>
                <w:sz w:val="26"/>
                <w:szCs w:val="26"/>
                <w:lang w:eastAsia="sk-SK"/>
              </w:rPr>
            </w:pPr>
          </w:p>
        </w:tc>
        <w:tc>
          <w:tcPr>
            <w:tcW w:w="95" w:type="pct"/>
            <w:tcBorders>
              <w:top w:val="nil"/>
              <w:left w:val="single" w:sz="4" w:space="0" w:color="auto"/>
              <w:bottom w:val="nil"/>
              <w:right w:val="nil"/>
            </w:tcBorders>
            <w:shd w:val="clear" w:color="auto" w:fill="auto"/>
            <w:noWrap/>
            <w:vAlign w:val="bottom"/>
            <w:hideMark/>
          </w:tcPr>
          <w:p w14:paraId="23707EE4" w14:textId="77777777" w:rsidR="00513EF1" w:rsidRPr="00513EF1" w:rsidRDefault="00513EF1" w:rsidP="00513EF1">
            <w:pPr>
              <w:spacing w:after="0" w:line="240" w:lineRule="auto"/>
              <w:jc w:val="center"/>
              <w:rPr>
                <w:rFonts w:ascii="Calibri" w:eastAsia="Times New Roman" w:hAnsi="Calibri" w:cs="Times New Roman"/>
                <w:color w:val="000000"/>
                <w:sz w:val="26"/>
                <w:szCs w:val="26"/>
                <w:lang w:eastAsia="sk-SK"/>
              </w:rPr>
            </w:pPr>
          </w:p>
        </w:tc>
        <w:tc>
          <w:tcPr>
            <w:tcW w:w="201" w:type="pct"/>
            <w:tcBorders>
              <w:top w:val="nil"/>
              <w:left w:val="nil"/>
              <w:bottom w:val="nil"/>
              <w:right w:val="nil"/>
            </w:tcBorders>
            <w:shd w:val="clear" w:color="auto" w:fill="auto"/>
            <w:noWrap/>
            <w:vAlign w:val="bottom"/>
            <w:hideMark/>
          </w:tcPr>
          <w:p w14:paraId="2DC0B550"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54F898A6"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6005094B"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3C427F27"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r>
      <w:tr w:rsidR="00513EF1" w:rsidRPr="00513EF1" w14:paraId="6412B2E2" w14:textId="77777777" w:rsidTr="00EC3A57">
        <w:trPr>
          <w:trHeight w:val="345"/>
        </w:trPr>
        <w:tc>
          <w:tcPr>
            <w:tcW w:w="543" w:type="pct"/>
            <w:tcBorders>
              <w:top w:val="nil"/>
              <w:left w:val="nil"/>
              <w:bottom w:val="nil"/>
              <w:right w:val="nil"/>
            </w:tcBorders>
            <w:shd w:val="clear" w:color="auto" w:fill="auto"/>
            <w:noWrap/>
            <w:vAlign w:val="bottom"/>
            <w:hideMark/>
          </w:tcPr>
          <w:p w14:paraId="5F0EACFA"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1160" w:type="pct"/>
            <w:tcBorders>
              <w:top w:val="nil"/>
              <w:left w:val="single" w:sz="4" w:space="0" w:color="auto"/>
              <w:bottom w:val="nil"/>
              <w:right w:val="nil"/>
            </w:tcBorders>
            <w:shd w:val="clear" w:color="auto" w:fill="auto"/>
            <w:noWrap/>
            <w:vAlign w:val="bottom"/>
            <w:hideMark/>
          </w:tcPr>
          <w:p w14:paraId="510ED6EC"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r w:rsidRPr="00513EF1">
              <w:rPr>
                <w:rFonts w:ascii="Calibri" w:eastAsia="Times New Roman" w:hAnsi="Calibri" w:cs="Times New Roman"/>
                <w:color w:val="000000"/>
                <w:sz w:val="26"/>
                <w:szCs w:val="26"/>
                <w:lang w:eastAsia="sk-SK"/>
              </w:rPr>
              <w:t> </w:t>
            </w:r>
          </w:p>
        </w:tc>
        <w:tc>
          <w:tcPr>
            <w:tcW w:w="95" w:type="pct"/>
            <w:tcBorders>
              <w:top w:val="nil"/>
              <w:left w:val="nil"/>
              <w:bottom w:val="nil"/>
              <w:right w:val="nil"/>
            </w:tcBorders>
            <w:shd w:val="clear" w:color="auto" w:fill="auto"/>
            <w:noWrap/>
            <w:vAlign w:val="bottom"/>
            <w:hideMark/>
          </w:tcPr>
          <w:p w14:paraId="41580F59"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p>
        </w:tc>
        <w:tc>
          <w:tcPr>
            <w:tcW w:w="201" w:type="pct"/>
            <w:tcBorders>
              <w:top w:val="nil"/>
              <w:left w:val="nil"/>
              <w:bottom w:val="nil"/>
              <w:right w:val="nil"/>
            </w:tcBorders>
            <w:shd w:val="clear" w:color="auto" w:fill="auto"/>
            <w:noWrap/>
            <w:vAlign w:val="bottom"/>
            <w:hideMark/>
          </w:tcPr>
          <w:p w14:paraId="6A51AD95"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5A7D2EAE"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1630" w:type="pct"/>
            <w:gridSpan w:val="2"/>
            <w:tcBorders>
              <w:top w:val="single" w:sz="4" w:space="0" w:color="auto"/>
              <w:left w:val="nil"/>
              <w:bottom w:val="nil"/>
              <w:right w:val="nil"/>
            </w:tcBorders>
            <w:shd w:val="clear" w:color="auto" w:fill="auto"/>
            <w:noWrap/>
            <w:vAlign w:val="bottom"/>
            <w:hideMark/>
          </w:tcPr>
          <w:p w14:paraId="0F74A53A" w14:textId="77777777" w:rsidR="00513EF1" w:rsidRPr="00513EF1" w:rsidRDefault="00513EF1" w:rsidP="00513EF1">
            <w:pPr>
              <w:spacing w:after="0" w:line="240" w:lineRule="auto"/>
              <w:rPr>
                <w:rFonts w:ascii="Calibri" w:eastAsia="Times New Roman" w:hAnsi="Calibri" w:cs="Times New Roman"/>
                <w:color w:val="0070C0"/>
                <w:sz w:val="26"/>
                <w:szCs w:val="26"/>
                <w:lang w:eastAsia="sk-SK"/>
              </w:rPr>
            </w:pPr>
            <w:r w:rsidRPr="00513EF1">
              <w:rPr>
                <w:rFonts w:ascii="Calibri" w:eastAsia="Times New Roman" w:hAnsi="Calibri" w:cs="Times New Roman"/>
                <w:color w:val="0070C0"/>
                <w:sz w:val="26"/>
                <w:szCs w:val="26"/>
                <w:lang w:eastAsia="sk-SK"/>
              </w:rPr>
              <w:t>§18, ods. 1 písm. a) ZVO</w:t>
            </w:r>
          </w:p>
        </w:tc>
        <w:tc>
          <w:tcPr>
            <w:tcW w:w="95" w:type="pct"/>
            <w:tcBorders>
              <w:top w:val="nil"/>
              <w:left w:val="nil"/>
              <w:bottom w:val="nil"/>
              <w:right w:val="nil"/>
            </w:tcBorders>
            <w:shd w:val="clear" w:color="auto" w:fill="auto"/>
            <w:noWrap/>
            <w:vAlign w:val="bottom"/>
            <w:hideMark/>
          </w:tcPr>
          <w:p w14:paraId="08F357A6" w14:textId="77777777" w:rsidR="00513EF1" w:rsidRPr="00513EF1" w:rsidRDefault="00513EF1" w:rsidP="00513EF1">
            <w:pPr>
              <w:spacing w:after="0" w:line="240" w:lineRule="auto"/>
              <w:rPr>
                <w:rFonts w:ascii="Calibri" w:eastAsia="Times New Roman" w:hAnsi="Calibri" w:cs="Times New Roman"/>
                <w:color w:val="0070C0"/>
                <w:sz w:val="26"/>
                <w:szCs w:val="26"/>
                <w:lang w:eastAsia="sk-SK"/>
              </w:rPr>
            </w:pPr>
          </w:p>
        </w:tc>
        <w:tc>
          <w:tcPr>
            <w:tcW w:w="201" w:type="pct"/>
            <w:tcBorders>
              <w:top w:val="nil"/>
              <w:left w:val="nil"/>
              <w:bottom w:val="nil"/>
              <w:right w:val="nil"/>
            </w:tcBorders>
            <w:shd w:val="clear" w:color="auto" w:fill="auto"/>
            <w:noWrap/>
            <w:vAlign w:val="bottom"/>
            <w:hideMark/>
          </w:tcPr>
          <w:p w14:paraId="7A7629E8"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2232A8BD"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0C800D17"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2782E833"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r>
      <w:tr w:rsidR="00513EF1" w:rsidRPr="00513EF1" w14:paraId="64CF7B87" w14:textId="77777777" w:rsidTr="00EC3A57">
        <w:trPr>
          <w:trHeight w:val="345"/>
        </w:trPr>
        <w:tc>
          <w:tcPr>
            <w:tcW w:w="1702" w:type="pct"/>
            <w:gridSpan w:val="2"/>
            <w:tcBorders>
              <w:top w:val="nil"/>
              <w:left w:val="nil"/>
              <w:bottom w:val="nil"/>
              <w:right w:val="nil"/>
            </w:tcBorders>
            <w:shd w:val="clear" w:color="auto" w:fill="auto"/>
            <w:noWrap/>
            <w:vAlign w:val="center"/>
            <w:hideMark/>
          </w:tcPr>
          <w:p w14:paraId="3C657772" w14:textId="77777777" w:rsidR="00513EF1" w:rsidRPr="00513EF1" w:rsidRDefault="00513EF1" w:rsidP="00513EF1">
            <w:pPr>
              <w:spacing w:after="0" w:line="240" w:lineRule="auto"/>
              <w:rPr>
                <w:rFonts w:ascii="Calibri" w:eastAsia="Times New Roman" w:hAnsi="Calibri" w:cs="Times New Roman"/>
                <w:b/>
                <w:bCs/>
                <w:color w:val="000000"/>
                <w:sz w:val="26"/>
                <w:szCs w:val="26"/>
                <w:lang w:eastAsia="sk-SK"/>
              </w:rPr>
            </w:pPr>
            <w:r w:rsidRPr="00513EF1">
              <w:rPr>
                <w:rFonts w:ascii="Calibri" w:eastAsia="Times New Roman" w:hAnsi="Calibri" w:cs="Times New Roman"/>
                <w:b/>
                <w:bCs/>
                <w:color w:val="000000"/>
                <w:sz w:val="26"/>
                <w:szCs w:val="26"/>
                <w:lang w:eastAsia="sk-SK"/>
              </w:rPr>
              <w:t xml:space="preserve">           nie</w:t>
            </w:r>
          </w:p>
        </w:tc>
        <w:tc>
          <w:tcPr>
            <w:tcW w:w="95" w:type="pct"/>
            <w:tcBorders>
              <w:top w:val="nil"/>
              <w:left w:val="nil"/>
              <w:bottom w:val="nil"/>
              <w:right w:val="nil"/>
            </w:tcBorders>
            <w:shd w:val="clear" w:color="auto" w:fill="auto"/>
            <w:noWrap/>
            <w:vAlign w:val="bottom"/>
            <w:hideMark/>
          </w:tcPr>
          <w:p w14:paraId="1BA4271C" w14:textId="77777777" w:rsidR="00513EF1" w:rsidRPr="00513EF1" w:rsidRDefault="00513EF1" w:rsidP="00513EF1">
            <w:pPr>
              <w:spacing w:after="0" w:line="240" w:lineRule="auto"/>
              <w:jc w:val="center"/>
              <w:rPr>
                <w:rFonts w:ascii="Calibri" w:eastAsia="Times New Roman" w:hAnsi="Calibri" w:cs="Times New Roman"/>
                <w:b/>
                <w:bCs/>
                <w:color w:val="000000"/>
                <w:sz w:val="26"/>
                <w:szCs w:val="26"/>
                <w:lang w:eastAsia="sk-SK"/>
              </w:rPr>
            </w:pPr>
          </w:p>
        </w:tc>
        <w:tc>
          <w:tcPr>
            <w:tcW w:w="201" w:type="pct"/>
            <w:tcBorders>
              <w:top w:val="nil"/>
              <w:left w:val="nil"/>
              <w:bottom w:val="nil"/>
              <w:right w:val="nil"/>
            </w:tcBorders>
            <w:shd w:val="clear" w:color="auto" w:fill="auto"/>
            <w:noWrap/>
            <w:vAlign w:val="bottom"/>
            <w:hideMark/>
          </w:tcPr>
          <w:p w14:paraId="037D16B9"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70DD5780"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815" w:type="pct"/>
            <w:tcBorders>
              <w:top w:val="nil"/>
              <w:left w:val="nil"/>
              <w:bottom w:val="nil"/>
              <w:right w:val="nil"/>
            </w:tcBorders>
            <w:shd w:val="clear" w:color="auto" w:fill="auto"/>
            <w:noWrap/>
            <w:vAlign w:val="bottom"/>
            <w:hideMark/>
          </w:tcPr>
          <w:p w14:paraId="7672AE5A"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815" w:type="pct"/>
            <w:tcBorders>
              <w:top w:val="nil"/>
              <w:left w:val="nil"/>
              <w:bottom w:val="nil"/>
              <w:right w:val="nil"/>
            </w:tcBorders>
            <w:shd w:val="clear" w:color="auto" w:fill="auto"/>
            <w:noWrap/>
            <w:vAlign w:val="bottom"/>
            <w:hideMark/>
          </w:tcPr>
          <w:p w14:paraId="28979F6B"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5BCB94ED"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201" w:type="pct"/>
            <w:tcBorders>
              <w:top w:val="nil"/>
              <w:left w:val="nil"/>
              <w:bottom w:val="nil"/>
              <w:right w:val="nil"/>
            </w:tcBorders>
            <w:shd w:val="clear" w:color="auto" w:fill="auto"/>
            <w:noWrap/>
            <w:vAlign w:val="bottom"/>
            <w:hideMark/>
          </w:tcPr>
          <w:p w14:paraId="2C1D25C2"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753E5F43"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74D97ABB"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56465FA1"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r>
      <w:tr w:rsidR="00513EF1" w:rsidRPr="00513EF1" w14:paraId="7FAA62CD" w14:textId="77777777" w:rsidTr="00EC3A57">
        <w:trPr>
          <w:trHeight w:val="345"/>
        </w:trPr>
        <w:tc>
          <w:tcPr>
            <w:tcW w:w="543" w:type="pct"/>
            <w:tcBorders>
              <w:top w:val="nil"/>
              <w:left w:val="nil"/>
              <w:bottom w:val="nil"/>
              <w:right w:val="nil"/>
            </w:tcBorders>
            <w:shd w:val="clear" w:color="auto" w:fill="auto"/>
            <w:noWrap/>
            <w:vAlign w:val="bottom"/>
            <w:hideMark/>
          </w:tcPr>
          <w:p w14:paraId="06C2D44C"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1160" w:type="pct"/>
            <w:tcBorders>
              <w:top w:val="nil"/>
              <w:left w:val="single" w:sz="4" w:space="0" w:color="auto"/>
              <w:bottom w:val="single" w:sz="4" w:space="0" w:color="auto"/>
              <w:right w:val="nil"/>
            </w:tcBorders>
            <w:shd w:val="clear" w:color="auto" w:fill="auto"/>
            <w:noWrap/>
            <w:vAlign w:val="bottom"/>
            <w:hideMark/>
          </w:tcPr>
          <w:p w14:paraId="7B570A73"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r w:rsidRPr="00513EF1">
              <w:rPr>
                <w:rFonts w:ascii="Calibri" w:eastAsia="Times New Roman" w:hAnsi="Calibri" w:cs="Times New Roman"/>
                <w:color w:val="000000"/>
                <w:sz w:val="26"/>
                <w:szCs w:val="26"/>
                <w:lang w:eastAsia="sk-SK"/>
              </w:rPr>
              <w:t> </w:t>
            </w:r>
          </w:p>
        </w:tc>
        <w:tc>
          <w:tcPr>
            <w:tcW w:w="95" w:type="pct"/>
            <w:tcBorders>
              <w:top w:val="nil"/>
              <w:left w:val="nil"/>
              <w:bottom w:val="nil"/>
              <w:right w:val="nil"/>
            </w:tcBorders>
            <w:shd w:val="clear" w:color="auto" w:fill="auto"/>
            <w:noWrap/>
            <w:vAlign w:val="bottom"/>
            <w:hideMark/>
          </w:tcPr>
          <w:p w14:paraId="5538C960"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p>
        </w:tc>
        <w:tc>
          <w:tcPr>
            <w:tcW w:w="201" w:type="pct"/>
            <w:tcBorders>
              <w:top w:val="nil"/>
              <w:left w:val="nil"/>
              <w:bottom w:val="nil"/>
              <w:right w:val="nil"/>
            </w:tcBorders>
            <w:shd w:val="clear" w:color="auto" w:fill="auto"/>
            <w:noWrap/>
            <w:vAlign w:val="bottom"/>
            <w:hideMark/>
          </w:tcPr>
          <w:p w14:paraId="7E923B6B"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4AFE6604"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815" w:type="pct"/>
            <w:tcBorders>
              <w:top w:val="nil"/>
              <w:left w:val="nil"/>
              <w:bottom w:val="single" w:sz="4" w:space="0" w:color="auto"/>
              <w:right w:val="nil"/>
            </w:tcBorders>
            <w:shd w:val="clear" w:color="auto" w:fill="auto"/>
            <w:noWrap/>
            <w:vAlign w:val="bottom"/>
            <w:hideMark/>
          </w:tcPr>
          <w:p w14:paraId="1C9C81E5"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815" w:type="pct"/>
            <w:tcBorders>
              <w:top w:val="nil"/>
              <w:left w:val="nil"/>
              <w:bottom w:val="single" w:sz="4" w:space="0" w:color="auto"/>
              <w:right w:val="nil"/>
            </w:tcBorders>
            <w:shd w:val="clear" w:color="auto" w:fill="auto"/>
            <w:noWrap/>
            <w:vAlign w:val="bottom"/>
            <w:hideMark/>
          </w:tcPr>
          <w:p w14:paraId="3B2FEAE2"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3852BEE3"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201" w:type="pct"/>
            <w:tcBorders>
              <w:top w:val="nil"/>
              <w:left w:val="nil"/>
              <w:bottom w:val="nil"/>
              <w:right w:val="nil"/>
            </w:tcBorders>
            <w:shd w:val="clear" w:color="auto" w:fill="auto"/>
            <w:noWrap/>
            <w:vAlign w:val="bottom"/>
            <w:hideMark/>
          </w:tcPr>
          <w:p w14:paraId="5971DBB0"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0005C4E2"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single" w:sz="4" w:space="0" w:color="auto"/>
              <w:right w:val="nil"/>
            </w:tcBorders>
            <w:shd w:val="clear" w:color="auto" w:fill="auto"/>
            <w:noWrap/>
            <w:vAlign w:val="bottom"/>
            <w:hideMark/>
          </w:tcPr>
          <w:p w14:paraId="785ED2B0"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single" w:sz="4" w:space="0" w:color="auto"/>
              <w:right w:val="nil"/>
            </w:tcBorders>
            <w:shd w:val="clear" w:color="auto" w:fill="auto"/>
            <w:noWrap/>
            <w:vAlign w:val="bottom"/>
            <w:hideMark/>
          </w:tcPr>
          <w:p w14:paraId="68C599CE"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r>
      <w:tr w:rsidR="00513EF1" w:rsidRPr="00513EF1" w14:paraId="59806986" w14:textId="77777777" w:rsidTr="00EC3A57">
        <w:trPr>
          <w:trHeight w:val="660"/>
        </w:trPr>
        <w:tc>
          <w:tcPr>
            <w:tcW w:w="1702" w:type="pct"/>
            <w:gridSpan w:val="2"/>
            <w:vMerge w:val="restart"/>
            <w:tcBorders>
              <w:top w:val="single" w:sz="4" w:space="0" w:color="auto"/>
              <w:left w:val="single" w:sz="4" w:space="0" w:color="auto"/>
              <w:bottom w:val="single" w:sz="4" w:space="0" w:color="000000"/>
              <w:right w:val="single" w:sz="4" w:space="0" w:color="000000"/>
            </w:tcBorders>
            <w:shd w:val="clear" w:color="000000" w:fill="D9D9D9"/>
            <w:vAlign w:val="center"/>
            <w:hideMark/>
          </w:tcPr>
          <w:p w14:paraId="469D530D" w14:textId="77777777" w:rsidR="00513EF1" w:rsidRPr="00513EF1" w:rsidRDefault="00513EF1" w:rsidP="00513EF1">
            <w:pPr>
              <w:spacing w:after="0" w:line="240" w:lineRule="auto"/>
              <w:jc w:val="center"/>
              <w:rPr>
                <w:rFonts w:ascii="Calibri" w:eastAsia="Times New Roman" w:hAnsi="Calibri" w:cs="Times New Roman"/>
                <w:b/>
                <w:bCs/>
                <w:color w:val="000000"/>
                <w:sz w:val="26"/>
                <w:szCs w:val="26"/>
                <w:lang w:eastAsia="sk-SK"/>
              </w:rPr>
            </w:pPr>
            <w:r w:rsidRPr="00513EF1">
              <w:rPr>
                <w:rFonts w:ascii="Calibri" w:eastAsia="Times New Roman" w:hAnsi="Calibri" w:cs="Times New Roman"/>
                <w:b/>
                <w:bCs/>
                <w:color w:val="000000"/>
                <w:sz w:val="26"/>
                <w:szCs w:val="26"/>
                <w:lang w:eastAsia="sk-SK"/>
              </w:rPr>
              <w:t>Obsahuje Zmluva ustanovenia MP 06/2018 (prípadne 09/2012)?</w:t>
            </w:r>
          </w:p>
        </w:tc>
        <w:tc>
          <w:tcPr>
            <w:tcW w:w="95" w:type="pct"/>
            <w:tcBorders>
              <w:top w:val="nil"/>
              <w:left w:val="nil"/>
              <w:bottom w:val="single" w:sz="4" w:space="0" w:color="auto"/>
              <w:right w:val="nil"/>
            </w:tcBorders>
            <w:shd w:val="clear" w:color="auto" w:fill="auto"/>
            <w:noWrap/>
            <w:vAlign w:val="bottom"/>
            <w:hideMark/>
          </w:tcPr>
          <w:p w14:paraId="1C87E7E0"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r w:rsidRPr="00513EF1">
              <w:rPr>
                <w:rFonts w:ascii="Calibri" w:eastAsia="Times New Roman" w:hAnsi="Calibri" w:cs="Times New Roman"/>
                <w:color w:val="000000"/>
                <w:sz w:val="26"/>
                <w:szCs w:val="26"/>
                <w:lang w:eastAsia="sk-SK"/>
              </w:rPr>
              <w:t> </w:t>
            </w:r>
          </w:p>
        </w:tc>
        <w:tc>
          <w:tcPr>
            <w:tcW w:w="201" w:type="pct"/>
            <w:vMerge w:val="restart"/>
            <w:tcBorders>
              <w:top w:val="nil"/>
              <w:left w:val="nil"/>
              <w:bottom w:val="nil"/>
              <w:right w:val="nil"/>
            </w:tcBorders>
            <w:shd w:val="clear" w:color="auto" w:fill="auto"/>
            <w:noWrap/>
            <w:vAlign w:val="center"/>
            <w:hideMark/>
          </w:tcPr>
          <w:p w14:paraId="24D74129" w14:textId="77777777" w:rsidR="00513EF1" w:rsidRPr="00513EF1" w:rsidRDefault="00513EF1" w:rsidP="00513EF1">
            <w:pPr>
              <w:spacing w:after="0" w:line="240" w:lineRule="auto"/>
              <w:jc w:val="center"/>
              <w:rPr>
                <w:rFonts w:ascii="Calibri" w:eastAsia="Times New Roman" w:hAnsi="Calibri" w:cs="Times New Roman"/>
                <w:b/>
                <w:bCs/>
                <w:color w:val="000000"/>
                <w:sz w:val="26"/>
                <w:szCs w:val="26"/>
                <w:lang w:eastAsia="sk-SK"/>
              </w:rPr>
            </w:pPr>
            <w:r w:rsidRPr="00513EF1">
              <w:rPr>
                <w:rFonts w:ascii="Calibri" w:eastAsia="Times New Roman" w:hAnsi="Calibri" w:cs="Times New Roman"/>
                <w:b/>
                <w:bCs/>
                <w:color w:val="000000"/>
                <w:sz w:val="26"/>
                <w:szCs w:val="26"/>
                <w:lang w:eastAsia="sk-SK"/>
              </w:rPr>
              <w:t>áno</w:t>
            </w:r>
          </w:p>
        </w:tc>
        <w:tc>
          <w:tcPr>
            <w:tcW w:w="95" w:type="pct"/>
            <w:tcBorders>
              <w:top w:val="nil"/>
              <w:left w:val="nil"/>
              <w:bottom w:val="nil"/>
              <w:right w:val="nil"/>
            </w:tcBorders>
            <w:shd w:val="clear" w:color="auto" w:fill="auto"/>
            <w:noWrap/>
            <w:vAlign w:val="center"/>
            <w:hideMark/>
          </w:tcPr>
          <w:p w14:paraId="70EB91FD" w14:textId="77777777" w:rsidR="00513EF1" w:rsidRPr="00513EF1" w:rsidRDefault="00513EF1" w:rsidP="00513EF1">
            <w:pPr>
              <w:spacing w:after="0" w:line="240" w:lineRule="auto"/>
              <w:jc w:val="center"/>
              <w:rPr>
                <w:rFonts w:ascii="Calibri" w:eastAsia="Times New Roman" w:hAnsi="Calibri" w:cs="Times New Roman"/>
                <w:b/>
                <w:bCs/>
                <w:color w:val="000000"/>
                <w:sz w:val="26"/>
                <w:szCs w:val="26"/>
                <w:lang w:eastAsia="sk-SK"/>
              </w:rPr>
            </w:pPr>
          </w:p>
        </w:tc>
        <w:tc>
          <w:tcPr>
            <w:tcW w:w="1630" w:type="pct"/>
            <w:gridSpan w:val="2"/>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184C9DC9" w14:textId="77777777" w:rsidR="00513EF1" w:rsidRPr="00513EF1" w:rsidRDefault="00513EF1" w:rsidP="00513EF1">
            <w:pPr>
              <w:spacing w:after="0" w:line="240" w:lineRule="auto"/>
              <w:jc w:val="center"/>
              <w:rPr>
                <w:rFonts w:ascii="Calibri" w:eastAsia="Times New Roman" w:hAnsi="Calibri" w:cs="Times New Roman"/>
                <w:b/>
                <w:bCs/>
                <w:color w:val="000000"/>
                <w:sz w:val="26"/>
                <w:szCs w:val="26"/>
                <w:lang w:eastAsia="sk-SK"/>
              </w:rPr>
            </w:pPr>
            <w:r w:rsidRPr="00513EF1">
              <w:rPr>
                <w:rFonts w:ascii="Calibri" w:eastAsia="Times New Roman" w:hAnsi="Calibri" w:cs="Times New Roman"/>
                <w:b/>
                <w:bCs/>
                <w:color w:val="000000"/>
                <w:sz w:val="26"/>
                <w:szCs w:val="26"/>
                <w:lang w:eastAsia="sk-SK"/>
              </w:rPr>
              <w:t>Je navýšenie v zmysle MP 06/2018 (prípadne 09/2012) dostatočné?</w:t>
            </w:r>
          </w:p>
        </w:tc>
        <w:tc>
          <w:tcPr>
            <w:tcW w:w="95" w:type="pct"/>
            <w:tcBorders>
              <w:top w:val="nil"/>
              <w:left w:val="single" w:sz="4" w:space="0" w:color="auto"/>
              <w:bottom w:val="single" w:sz="4" w:space="0" w:color="auto"/>
              <w:right w:val="nil"/>
            </w:tcBorders>
            <w:shd w:val="clear" w:color="auto" w:fill="auto"/>
            <w:noWrap/>
            <w:vAlign w:val="bottom"/>
            <w:hideMark/>
          </w:tcPr>
          <w:p w14:paraId="4E4DD9B2"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r w:rsidRPr="00513EF1">
              <w:rPr>
                <w:rFonts w:ascii="Calibri" w:eastAsia="Times New Roman" w:hAnsi="Calibri" w:cs="Times New Roman"/>
                <w:color w:val="000000"/>
                <w:sz w:val="26"/>
                <w:szCs w:val="26"/>
                <w:lang w:eastAsia="sk-SK"/>
              </w:rPr>
              <w:t> </w:t>
            </w:r>
          </w:p>
        </w:tc>
        <w:tc>
          <w:tcPr>
            <w:tcW w:w="201" w:type="pct"/>
            <w:vMerge w:val="restart"/>
            <w:tcBorders>
              <w:top w:val="nil"/>
              <w:left w:val="nil"/>
              <w:bottom w:val="nil"/>
              <w:right w:val="nil"/>
            </w:tcBorders>
            <w:shd w:val="clear" w:color="auto" w:fill="auto"/>
            <w:noWrap/>
            <w:vAlign w:val="center"/>
            <w:hideMark/>
          </w:tcPr>
          <w:p w14:paraId="1BA56BEA" w14:textId="77777777" w:rsidR="00513EF1" w:rsidRPr="00513EF1" w:rsidRDefault="00513EF1" w:rsidP="00513EF1">
            <w:pPr>
              <w:spacing w:after="0" w:line="240" w:lineRule="auto"/>
              <w:jc w:val="center"/>
              <w:rPr>
                <w:rFonts w:ascii="Calibri" w:eastAsia="Times New Roman" w:hAnsi="Calibri" w:cs="Times New Roman"/>
                <w:b/>
                <w:bCs/>
                <w:color w:val="000000"/>
                <w:sz w:val="26"/>
                <w:szCs w:val="26"/>
                <w:lang w:eastAsia="sk-SK"/>
              </w:rPr>
            </w:pPr>
            <w:r w:rsidRPr="00513EF1">
              <w:rPr>
                <w:rFonts w:ascii="Calibri" w:eastAsia="Times New Roman" w:hAnsi="Calibri" w:cs="Times New Roman"/>
                <w:b/>
                <w:bCs/>
                <w:color w:val="000000"/>
                <w:sz w:val="26"/>
                <w:szCs w:val="26"/>
                <w:lang w:eastAsia="sk-SK"/>
              </w:rPr>
              <w:t>áno</w:t>
            </w:r>
          </w:p>
        </w:tc>
        <w:tc>
          <w:tcPr>
            <w:tcW w:w="95" w:type="pct"/>
            <w:tcBorders>
              <w:top w:val="nil"/>
              <w:left w:val="nil"/>
              <w:bottom w:val="nil"/>
              <w:right w:val="nil"/>
            </w:tcBorders>
            <w:shd w:val="clear" w:color="auto" w:fill="auto"/>
            <w:noWrap/>
            <w:vAlign w:val="center"/>
            <w:hideMark/>
          </w:tcPr>
          <w:p w14:paraId="3429B937" w14:textId="77777777" w:rsidR="00513EF1" w:rsidRPr="00513EF1" w:rsidRDefault="00513EF1" w:rsidP="00513EF1">
            <w:pPr>
              <w:spacing w:after="0" w:line="240" w:lineRule="auto"/>
              <w:jc w:val="center"/>
              <w:rPr>
                <w:rFonts w:ascii="Calibri" w:eastAsia="Times New Roman" w:hAnsi="Calibri" w:cs="Times New Roman"/>
                <w:b/>
                <w:bCs/>
                <w:color w:val="000000"/>
                <w:sz w:val="26"/>
                <w:szCs w:val="26"/>
                <w:lang w:eastAsia="sk-SK"/>
              </w:rPr>
            </w:pPr>
          </w:p>
        </w:tc>
        <w:tc>
          <w:tcPr>
            <w:tcW w:w="884" w:type="pct"/>
            <w:gridSpan w:val="2"/>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FB33837" w14:textId="77777777" w:rsidR="00513EF1" w:rsidRPr="00513EF1" w:rsidRDefault="005C3645" w:rsidP="00513EF1">
            <w:pPr>
              <w:spacing w:after="0" w:line="240" w:lineRule="auto"/>
              <w:jc w:val="center"/>
              <w:rPr>
                <w:rFonts w:ascii="Calibri" w:eastAsia="Times New Roman" w:hAnsi="Calibri" w:cs="Times New Roman"/>
                <w:b/>
                <w:bCs/>
                <w:color w:val="000000"/>
                <w:sz w:val="26"/>
                <w:szCs w:val="26"/>
                <w:lang w:eastAsia="sk-SK"/>
              </w:rPr>
            </w:pPr>
            <w:r>
              <w:rPr>
                <w:rFonts w:ascii="Calibri" w:eastAsia="Times New Roman" w:hAnsi="Calibri" w:cs="Times New Roman"/>
                <w:b/>
                <w:bCs/>
                <w:color w:val="000000"/>
                <w:sz w:val="26"/>
                <w:szCs w:val="26"/>
                <w:lang w:eastAsia="sk-SK"/>
              </w:rPr>
              <w:t>Indexuje</w:t>
            </w:r>
            <w:r w:rsidR="00513EF1" w:rsidRPr="00513EF1">
              <w:rPr>
                <w:rFonts w:ascii="Calibri" w:eastAsia="Times New Roman" w:hAnsi="Calibri" w:cs="Times New Roman"/>
                <w:b/>
                <w:bCs/>
                <w:color w:val="000000"/>
                <w:sz w:val="26"/>
                <w:szCs w:val="26"/>
                <w:lang w:eastAsia="sk-SK"/>
              </w:rPr>
              <w:t xml:space="preserve"> sa podľa ustanovení Zmluvy</w:t>
            </w:r>
          </w:p>
        </w:tc>
      </w:tr>
      <w:tr w:rsidR="00513EF1" w:rsidRPr="00513EF1" w14:paraId="224C4975" w14:textId="77777777" w:rsidTr="00EC3A57">
        <w:trPr>
          <w:trHeight w:val="660"/>
        </w:trPr>
        <w:tc>
          <w:tcPr>
            <w:tcW w:w="1702" w:type="pct"/>
            <w:gridSpan w:val="2"/>
            <w:vMerge/>
            <w:tcBorders>
              <w:top w:val="single" w:sz="4" w:space="0" w:color="auto"/>
              <w:left w:val="single" w:sz="4" w:space="0" w:color="auto"/>
              <w:bottom w:val="single" w:sz="4" w:space="0" w:color="000000"/>
              <w:right w:val="single" w:sz="4" w:space="0" w:color="000000"/>
            </w:tcBorders>
            <w:vAlign w:val="center"/>
            <w:hideMark/>
          </w:tcPr>
          <w:p w14:paraId="2E5D27D3" w14:textId="77777777" w:rsidR="00513EF1" w:rsidRPr="00513EF1" w:rsidRDefault="00513EF1" w:rsidP="00513EF1">
            <w:pPr>
              <w:spacing w:after="0" w:line="240" w:lineRule="auto"/>
              <w:rPr>
                <w:rFonts w:ascii="Calibri" w:eastAsia="Times New Roman" w:hAnsi="Calibri" w:cs="Times New Roman"/>
                <w:b/>
                <w:bCs/>
                <w:color w:val="000000"/>
                <w:sz w:val="26"/>
                <w:szCs w:val="26"/>
                <w:lang w:eastAsia="sk-SK"/>
              </w:rPr>
            </w:pPr>
          </w:p>
        </w:tc>
        <w:tc>
          <w:tcPr>
            <w:tcW w:w="95" w:type="pct"/>
            <w:tcBorders>
              <w:top w:val="nil"/>
              <w:left w:val="nil"/>
              <w:bottom w:val="nil"/>
              <w:right w:val="nil"/>
            </w:tcBorders>
            <w:shd w:val="clear" w:color="auto" w:fill="auto"/>
            <w:noWrap/>
            <w:vAlign w:val="bottom"/>
            <w:hideMark/>
          </w:tcPr>
          <w:p w14:paraId="46CDA3F1"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r w:rsidRPr="00513EF1">
              <w:rPr>
                <w:rFonts w:ascii="Calibri" w:eastAsia="Times New Roman" w:hAnsi="Calibri" w:cs="Times New Roman"/>
                <w:color w:val="000000"/>
                <w:sz w:val="26"/>
                <w:szCs w:val="26"/>
                <w:lang w:eastAsia="sk-SK"/>
              </w:rPr>
              <w:t> </w:t>
            </w:r>
          </w:p>
        </w:tc>
        <w:tc>
          <w:tcPr>
            <w:tcW w:w="201" w:type="pct"/>
            <w:vMerge/>
            <w:tcBorders>
              <w:top w:val="nil"/>
              <w:left w:val="nil"/>
              <w:bottom w:val="nil"/>
              <w:right w:val="nil"/>
            </w:tcBorders>
            <w:vAlign w:val="center"/>
            <w:hideMark/>
          </w:tcPr>
          <w:p w14:paraId="5A1729AB" w14:textId="77777777" w:rsidR="00513EF1" w:rsidRPr="00513EF1" w:rsidRDefault="00513EF1" w:rsidP="00513EF1">
            <w:pPr>
              <w:spacing w:after="0" w:line="240" w:lineRule="auto"/>
              <w:rPr>
                <w:rFonts w:ascii="Calibri" w:eastAsia="Times New Roman" w:hAnsi="Calibri" w:cs="Times New Roman"/>
                <w:b/>
                <w:bCs/>
                <w:color w:val="000000"/>
                <w:sz w:val="26"/>
                <w:szCs w:val="26"/>
                <w:lang w:eastAsia="sk-SK"/>
              </w:rPr>
            </w:pPr>
          </w:p>
        </w:tc>
        <w:tc>
          <w:tcPr>
            <w:tcW w:w="95" w:type="pct"/>
            <w:tcBorders>
              <w:top w:val="single" w:sz="4" w:space="0" w:color="auto"/>
              <w:left w:val="nil"/>
              <w:bottom w:val="nil"/>
              <w:right w:val="single" w:sz="4" w:space="0" w:color="auto"/>
            </w:tcBorders>
            <w:shd w:val="clear" w:color="auto" w:fill="auto"/>
            <w:noWrap/>
            <w:vAlign w:val="center"/>
            <w:hideMark/>
          </w:tcPr>
          <w:p w14:paraId="45A66C26" w14:textId="77777777" w:rsidR="00513EF1" w:rsidRPr="00513EF1" w:rsidRDefault="00513EF1" w:rsidP="00513EF1">
            <w:pPr>
              <w:spacing w:after="0" w:line="240" w:lineRule="auto"/>
              <w:jc w:val="center"/>
              <w:rPr>
                <w:rFonts w:ascii="Calibri" w:eastAsia="Times New Roman" w:hAnsi="Calibri" w:cs="Times New Roman"/>
                <w:color w:val="000000"/>
                <w:sz w:val="26"/>
                <w:szCs w:val="26"/>
                <w:lang w:eastAsia="sk-SK"/>
              </w:rPr>
            </w:pPr>
            <w:r w:rsidRPr="00513EF1">
              <w:rPr>
                <w:rFonts w:ascii="Calibri" w:eastAsia="Times New Roman" w:hAnsi="Calibri" w:cs="Times New Roman"/>
                <w:color w:val="000000"/>
                <w:sz w:val="26"/>
                <w:szCs w:val="26"/>
                <w:lang w:eastAsia="sk-SK"/>
              </w:rPr>
              <w:t> </w:t>
            </w:r>
          </w:p>
        </w:tc>
        <w:tc>
          <w:tcPr>
            <w:tcW w:w="1630" w:type="pct"/>
            <w:gridSpan w:val="2"/>
            <w:vMerge/>
            <w:tcBorders>
              <w:top w:val="single" w:sz="4" w:space="0" w:color="000000"/>
              <w:left w:val="single" w:sz="4" w:space="0" w:color="auto"/>
              <w:bottom w:val="single" w:sz="4" w:space="0" w:color="auto"/>
              <w:right w:val="single" w:sz="4" w:space="0" w:color="auto"/>
            </w:tcBorders>
            <w:vAlign w:val="center"/>
            <w:hideMark/>
          </w:tcPr>
          <w:p w14:paraId="1C8FBE48" w14:textId="77777777" w:rsidR="00513EF1" w:rsidRPr="00513EF1" w:rsidRDefault="00513EF1" w:rsidP="00513EF1">
            <w:pPr>
              <w:spacing w:after="0" w:line="240" w:lineRule="auto"/>
              <w:rPr>
                <w:rFonts w:ascii="Calibri" w:eastAsia="Times New Roman" w:hAnsi="Calibri" w:cs="Times New Roman"/>
                <w:b/>
                <w:bCs/>
                <w:color w:val="000000"/>
                <w:sz w:val="26"/>
                <w:szCs w:val="26"/>
                <w:lang w:eastAsia="sk-SK"/>
              </w:rPr>
            </w:pPr>
          </w:p>
        </w:tc>
        <w:tc>
          <w:tcPr>
            <w:tcW w:w="95" w:type="pct"/>
            <w:tcBorders>
              <w:top w:val="nil"/>
              <w:left w:val="single" w:sz="4" w:space="0" w:color="auto"/>
              <w:bottom w:val="nil"/>
              <w:right w:val="nil"/>
            </w:tcBorders>
            <w:shd w:val="clear" w:color="auto" w:fill="auto"/>
            <w:noWrap/>
            <w:vAlign w:val="bottom"/>
            <w:hideMark/>
          </w:tcPr>
          <w:p w14:paraId="518386C7"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r w:rsidRPr="00513EF1">
              <w:rPr>
                <w:rFonts w:ascii="Calibri" w:eastAsia="Times New Roman" w:hAnsi="Calibri" w:cs="Times New Roman"/>
                <w:color w:val="000000"/>
                <w:sz w:val="26"/>
                <w:szCs w:val="26"/>
                <w:lang w:eastAsia="sk-SK"/>
              </w:rPr>
              <w:t> </w:t>
            </w:r>
          </w:p>
        </w:tc>
        <w:tc>
          <w:tcPr>
            <w:tcW w:w="201" w:type="pct"/>
            <w:vMerge/>
            <w:tcBorders>
              <w:top w:val="nil"/>
              <w:left w:val="nil"/>
              <w:bottom w:val="nil"/>
              <w:right w:val="nil"/>
            </w:tcBorders>
            <w:vAlign w:val="center"/>
            <w:hideMark/>
          </w:tcPr>
          <w:p w14:paraId="3DD66A18" w14:textId="77777777" w:rsidR="00513EF1" w:rsidRPr="00513EF1" w:rsidRDefault="00513EF1" w:rsidP="00513EF1">
            <w:pPr>
              <w:spacing w:after="0" w:line="240" w:lineRule="auto"/>
              <w:rPr>
                <w:rFonts w:ascii="Calibri" w:eastAsia="Times New Roman" w:hAnsi="Calibri" w:cs="Times New Roman"/>
                <w:b/>
                <w:bCs/>
                <w:color w:val="000000"/>
                <w:sz w:val="26"/>
                <w:szCs w:val="26"/>
                <w:lang w:eastAsia="sk-SK"/>
              </w:rPr>
            </w:pPr>
          </w:p>
        </w:tc>
        <w:tc>
          <w:tcPr>
            <w:tcW w:w="95" w:type="pct"/>
            <w:tcBorders>
              <w:top w:val="single" w:sz="4" w:space="0" w:color="auto"/>
              <w:left w:val="nil"/>
              <w:bottom w:val="nil"/>
              <w:right w:val="single" w:sz="4" w:space="0" w:color="auto"/>
            </w:tcBorders>
            <w:shd w:val="clear" w:color="auto" w:fill="auto"/>
            <w:noWrap/>
            <w:vAlign w:val="center"/>
            <w:hideMark/>
          </w:tcPr>
          <w:p w14:paraId="65B0E07A" w14:textId="77777777" w:rsidR="00513EF1" w:rsidRPr="00513EF1" w:rsidRDefault="00513EF1" w:rsidP="00513EF1">
            <w:pPr>
              <w:spacing w:after="0" w:line="240" w:lineRule="auto"/>
              <w:jc w:val="center"/>
              <w:rPr>
                <w:rFonts w:ascii="Calibri" w:eastAsia="Times New Roman" w:hAnsi="Calibri" w:cs="Times New Roman"/>
                <w:color w:val="000000"/>
                <w:sz w:val="26"/>
                <w:szCs w:val="26"/>
                <w:lang w:eastAsia="sk-SK"/>
              </w:rPr>
            </w:pPr>
            <w:r w:rsidRPr="00513EF1">
              <w:rPr>
                <w:rFonts w:ascii="Calibri" w:eastAsia="Times New Roman" w:hAnsi="Calibri" w:cs="Times New Roman"/>
                <w:color w:val="000000"/>
                <w:sz w:val="26"/>
                <w:szCs w:val="26"/>
                <w:lang w:eastAsia="sk-SK"/>
              </w:rPr>
              <w:t> </w:t>
            </w:r>
          </w:p>
        </w:tc>
        <w:tc>
          <w:tcPr>
            <w:tcW w:w="884" w:type="pct"/>
            <w:gridSpan w:val="2"/>
            <w:vMerge/>
            <w:tcBorders>
              <w:top w:val="single" w:sz="4" w:space="0" w:color="000000"/>
              <w:left w:val="single" w:sz="4" w:space="0" w:color="auto"/>
              <w:bottom w:val="single" w:sz="4" w:space="0" w:color="auto"/>
              <w:right w:val="single" w:sz="4" w:space="0" w:color="auto"/>
            </w:tcBorders>
            <w:vAlign w:val="center"/>
            <w:hideMark/>
          </w:tcPr>
          <w:p w14:paraId="4DA08648" w14:textId="77777777" w:rsidR="00513EF1" w:rsidRPr="00513EF1" w:rsidRDefault="00513EF1" w:rsidP="00513EF1">
            <w:pPr>
              <w:spacing w:after="0" w:line="240" w:lineRule="auto"/>
              <w:rPr>
                <w:rFonts w:ascii="Calibri" w:eastAsia="Times New Roman" w:hAnsi="Calibri" w:cs="Times New Roman"/>
                <w:b/>
                <w:bCs/>
                <w:color w:val="000000"/>
                <w:sz w:val="26"/>
                <w:szCs w:val="26"/>
                <w:lang w:eastAsia="sk-SK"/>
              </w:rPr>
            </w:pPr>
          </w:p>
        </w:tc>
      </w:tr>
      <w:tr w:rsidR="00513EF1" w:rsidRPr="00513EF1" w14:paraId="776DEEA2" w14:textId="77777777" w:rsidTr="00EC3A57">
        <w:trPr>
          <w:trHeight w:val="345"/>
        </w:trPr>
        <w:tc>
          <w:tcPr>
            <w:tcW w:w="543" w:type="pct"/>
            <w:tcBorders>
              <w:top w:val="nil"/>
              <w:left w:val="nil"/>
              <w:bottom w:val="nil"/>
              <w:right w:val="nil"/>
            </w:tcBorders>
            <w:shd w:val="clear" w:color="auto" w:fill="auto"/>
            <w:noWrap/>
            <w:vAlign w:val="bottom"/>
            <w:hideMark/>
          </w:tcPr>
          <w:p w14:paraId="63AAC40D" w14:textId="77777777" w:rsidR="00513EF1" w:rsidRPr="00513EF1" w:rsidRDefault="00513EF1" w:rsidP="00513EF1">
            <w:pPr>
              <w:spacing w:after="0" w:line="240" w:lineRule="auto"/>
              <w:jc w:val="center"/>
              <w:rPr>
                <w:rFonts w:ascii="Calibri" w:eastAsia="Times New Roman" w:hAnsi="Calibri" w:cs="Times New Roman"/>
                <w:color w:val="000000"/>
                <w:sz w:val="26"/>
                <w:szCs w:val="26"/>
                <w:lang w:eastAsia="sk-SK"/>
              </w:rPr>
            </w:pPr>
          </w:p>
        </w:tc>
        <w:tc>
          <w:tcPr>
            <w:tcW w:w="1160" w:type="pct"/>
            <w:tcBorders>
              <w:top w:val="nil"/>
              <w:left w:val="single" w:sz="4" w:space="0" w:color="auto"/>
              <w:bottom w:val="nil"/>
              <w:right w:val="nil"/>
            </w:tcBorders>
            <w:shd w:val="clear" w:color="auto" w:fill="auto"/>
            <w:noWrap/>
            <w:vAlign w:val="bottom"/>
            <w:hideMark/>
          </w:tcPr>
          <w:p w14:paraId="2930098E"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r w:rsidRPr="00513EF1">
              <w:rPr>
                <w:rFonts w:ascii="Calibri" w:eastAsia="Times New Roman" w:hAnsi="Calibri" w:cs="Times New Roman"/>
                <w:color w:val="000000"/>
                <w:sz w:val="26"/>
                <w:szCs w:val="26"/>
                <w:lang w:eastAsia="sk-SK"/>
              </w:rPr>
              <w:t> </w:t>
            </w:r>
          </w:p>
        </w:tc>
        <w:tc>
          <w:tcPr>
            <w:tcW w:w="95" w:type="pct"/>
            <w:tcBorders>
              <w:top w:val="nil"/>
              <w:left w:val="nil"/>
              <w:bottom w:val="nil"/>
              <w:right w:val="nil"/>
            </w:tcBorders>
            <w:shd w:val="clear" w:color="auto" w:fill="auto"/>
            <w:noWrap/>
            <w:vAlign w:val="bottom"/>
            <w:hideMark/>
          </w:tcPr>
          <w:p w14:paraId="32EB5677"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p>
        </w:tc>
        <w:tc>
          <w:tcPr>
            <w:tcW w:w="201" w:type="pct"/>
            <w:tcBorders>
              <w:top w:val="nil"/>
              <w:left w:val="nil"/>
              <w:bottom w:val="nil"/>
              <w:right w:val="nil"/>
            </w:tcBorders>
            <w:shd w:val="clear" w:color="auto" w:fill="auto"/>
            <w:noWrap/>
            <w:vAlign w:val="bottom"/>
            <w:hideMark/>
          </w:tcPr>
          <w:p w14:paraId="0960F0D2"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670356BE"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815" w:type="pct"/>
            <w:tcBorders>
              <w:top w:val="single" w:sz="4" w:space="0" w:color="auto"/>
              <w:left w:val="nil"/>
              <w:bottom w:val="nil"/>
              <w:right w:val="nil"/>
            </w:tcBorders>
            <w:shd w:val="clear" w:color="auto" w:fill="auto"/>
            <w:noWrap/>
            <w:vAlign w:val="bottom"/>
            <w:hideMark/>
          </w:tcPr>
          <w:p w14:paraId="0623A88B"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815" w:type="pct"/>
            <w:tcBorders>
              <w:top w:val="single" w:sz="4" w:space="0" w:color="auto"/>
              <w:left w:val="single" w:sz="4" w:space="0" w:color="auto"/>
              <w:bottom w:val="nil"/>
              <w:right w:val="nil"/>
            </w:tcBorders>
            <w:shd w:val="clear" w:color="auto" w:fill="auto"/>
            <w:noWrap/>
            <w:vAlign w:val="bottom"/>
            <w:hideMark/>
          </w:tcPr>
          <w:p w14:paraId="21059718"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r w:rsidRPr="00513EF1">
              <w:rPr>
                <w:rFonts w:ascii="Calibri" w:eastAsia="Times New Roman" w:hAnsi="Calibri" w:cs="Times New Roman"/>
                <w:color w:val="000000"/>
                <w:sz w:val="26"/>
                <w:szCs w:val="26"/>
                <w:lang w:eastAsia="sk-SK"/>
              </w:rPr>
              <w:t> </w:t>
            </w:r>
          </w:p>
        </w:tc>
        <w:tc>
          <w:tcPr>
            <w:tcW w:w="95" w:type="pct"/>
            <w:tcBorders>
              <w:top w:val="nil"/>
              <w:left w:val="nil"/>
              <w:bottom w:val="nil"/>
              <w:right w:val="nil"/>
            </w:tcBorders>
            <w:shd w:val="clear" w:color="auto" w:fill="auto"/>
            <w:noWrap/>
            <w:vAlign w:val="bottom"/>
            <w:hideMark/>
          </w:tcPr>
          <w:p w14:paraId="6E8228D7"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p>
        </w:tc>
        <w:tc>
          <w:tcPr>
            <w:tcW w:w="201" w:type="pct"/>
            <w:tcBorders>
              <w:top w:val="nil"/>
              <w:left w:val="nil"/>
              <w:bottom w:val="nil"/>
              <w:right w:val="nil"/>
            </w:tcBorders>
            <w:shd w:val="clear" w:color="auto" w:fill="auto"/>
            <w:noWrap/>
            <w:vAlign w:val="bottom"/>
            <w:hideMark/>
          </w:tcPr>
          <w:p w14:paraId="1265B7FE"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635056B9"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884" w:type="pct"/>
            <w:gridSpan w:val="2"/>
            <w:tcBorders>
              <w:top w:val="single" w:sz="4" w:space="0" w:color="auto"/>
              <w:left w:val="nil"/>
              <w:bottom w:val="nil"/>
              <w:right w:val="nil"/>
            </w:tcBorders>
            <w:shd w:val="clear" w:color="auto" w:fill="auto"/>
            <w:noWrap/>
            <w:vAlign w:val="bottom"/>
            <w:hideMark/>
          </w:tcPr>
          <w:p w14:paraId="1C1BF40A" w14:textId="77777777" w:rsidR="00513EF1" w:rsidRPr="00513EF1" w:rsidRDefault="00513EF1" w:rsidP="00513EF1">
            <w:pPr>
              <w:spacing w:after="0" w:line="240" w:lineRule="auto"/>
              <w:rPr>
                <w:rFonts w:ascii="Calibri" w:eastAsia="Times New Roman" w:hAnsi="Calibri" w:cs="Times New Roman"/>
                <w:color w:val="0070C0"/>
                <w:sz w:val="26"/>
                <w:szCs w:val="26"/>
                <w:lang w:eastAsia="sk-SK"/>
              </w:rPr>
            </w:pPr>
            <w:r w:rsidRPr="00513EF1">
              <w:rPr>
                <w:rFonts w:ascii="Calibri" w:eastAsia="Times New Roman" w:hAnsi="Calibri" w:cs="Times New Roman"/>
                <w:color w:val="0070C0"/>
                <w:sz w:val="26"/>
                <w:szCs w:val="26"/>
                <w:lang w:eastAsia="sk-SK"/>
              </w:rPr>
              <w:t>§18, ods. 1 písm. a) ZVO</w:t>
            </w:r>
          </w:p>
        </w:tc>
      </w:tr>
      <w:tr w:rsidR="00513EF1" w:rsidRPr="00513EF1" w14:paraId="433BD5DE" w14:textId="77777777" w:rsidTr="00EC3A57">
        <w:trPr>
          <w:trHeight w:val="345"/>
        </w:trPr>
        <w:tc>
          <w:tcPr>
            <w:tcW w:w="1702" w:type="pct"/>
            <w:gridSpan w:val="2"/>
            <w:tcBorders>
              <w:top w:val="nil"/>
              <w:left w:val="nil"/>
              <w:bottom w:val="nil"/>
              <w:right w:val="nil"/>
            </w:tcBorders>
            <w:shd w:val="clear" w:color="auto" w:fill="auto"/>
            <w:noWrap/>
            <w:vAlign w:val="center"/>
            <w:hideMark/>
          </w:tcPr>
          <w:p w14:paraId="4F68B63C" w14:textId="77777777" w:rsidR="00513EF1" w:rsidRPr="00513EF1" w:rsidRDefault="00513EF1" w:rsidP="00513EF1">
            <w:pPr>
              <w:spacing w:after="0" w:line="240" w:lineRule="auto"/>
              <w:rPr>
                <w:rFonts w:ascii="Calibri" w:eastAsia="Times New Roman" w:hAnsi="Calibri" w:cs="Times New Roman"/>
                <w:b/>
                <w:bCs/>
                <w:color w:val="000000"/>
                <w:sz w:val="26"/>
                <w:szCs w:val="26"/>
                <w:lang w:eastAsia="sk-SK"/>
              </w:rPr>
            </w:pPr>
            <w:r w:rsidRPr="00513EF1">
              <w:rPr>
                <w:rFonts w:ascii="Calibri" w:eastAsia="Times New Roman" w:hAnsi="Calibri" w:cs="Times New Roman"/>
                <w:b/>
                <w:bCs/>
                <w:color w:val="000000"/>
                <w:sz w:val="26"/>
                <w:szCs w:val="26"/>
                <w:lang w:eastAsia="sk-SK"/>
              </w:rPr>
              <w:t xml:space="preserve">           nie</w:t>
            </w:r>
          </w:p>
        </w:tc>
        <w:tc>
          <w:tcPr>
            <w:tcW w:w="95" w:type="pct"/>
            <w:tcBorders>
              <w:top w:val="nil"/>
              <w:left w:val="nil"/>
              <w:bottom w:val="nil"/>
              <w:right w:val="nil"/>
            </w:tcBorders>
            <w:shd w:val="clear" w:color="auto" w:fill="auto"/>
            <w:noWrap/>
            <w:vAlign w:val="bottom"/>
            <w:hideMark/>
          </w:tcPr>
          <w:p w14:paraId="7F23FF86" w14:textId="77777777" w:rsidR="00513EF1" w:rsidRPr="00513EF1" w:rsidRDefault="00513EF1" w:rsidP="00513EF1">
            <w:pPr>
              <w:spacing w:after="0" w:line="240" w:lineRule="auto"/>
              <w:jc w:val="center"/>
              <w:rPr>
                <w:rFonts w:ascii="Calibri" w:eastAsia="Times New Roman" w:hAnsi="Calibri" w:cs="Times New Roman"/>
                <w:b/>
                <w:bCs/>
                <w:color w:val="000000"/>
                <w:sz w:val="26"/>
                <w:szCs w:val="26"/>
                <w:lang w:eastAsia="sk-SK"/>
              </w:rPr>
            </w:pPr>
          </w:p>
        </w:tc>
        <w:tc>
          <w:tcPr>
            <w:tcW w:w="201" w:type="pct"/>
            <w:tcBorders>
              <w:top w:val="nil"/>
              <w:left w:val="nil"/>
              <w:bottom w:val="nil"/>
              <w:right w:val="nil"/>
            </w:tcBorders>
            <w:shd w:val="clear" w:color="auto" w:fill="auto"/>
            <w:noWrap/>
            <w:vAlign w:val="bottom"/>
            <w:hideMark/>
          </w:tcPr>
          <w:p w14:paraId="230EAED1"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05555A93"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1630" w:type="pct"/>
            <w:gridSpan w:val="2"/>
            <w:tcBorders>
              <w:top w:val="nil"/>
              <w:left w:val="nil"/>
              <w:bottom w:val="nil"/>
              <w:right w:val="nil"/>
            </w:tcBorders>
            <w:shd w:val="clear" w:color="auto" w:fill="auto"/>
            <w:noWrap/>
            <w:vAlign w:val="center"/>
            <w:hideMark/>
          </w:tcPr>
          <w:p w14:paraId="36807A4B" w14:textId="77777777" w:rsidR="00513EF1" w:rsidRPr="00513EF1" w:rsidRDefault="00513EF1" w:rsidP="00513EF1">
            <w:pPr>
              <w:spacing w:after="0" w:line="240" w:lineRule="auto"/>
              <w:jc w:val="center"/>
              <w:rPr>
                <w:rFonts w:ascii="Calibri" w:eastAsia="Times New Roman" w:hAnsi="Calibri" w:cs="Times New Roman"/>
                <w:b/>
                <w:bCs/>
                <w:color w:val="000000"/>
                <w:sz w:val="26"/>
                <w:szCs w:val="26"/>
                <w:lang w:eastAsia="sk-SK"/>
              </w:rPr>
            </w:pPr>
            <w:r w:rsidRPr="00513EF1">
              <w:rPr>
                <w:rFonts w:ascii="Calibri" w:eastAsia="Times New Roman" w:hAnsi="Calibri" w:cs="Times New Roman"/>
                <w:b/>
                <w:bCs/>
                <w:color w:val="000000"/>
                <w:sz w:val="26"/>
                <w:szCs w:val="26"/>
                <w:lang w:eastAsia="sk-SK"/>
              </w:rPr>
              <w:t>nie</w:t>
            </w:r>
          </w:p>
        </w:tc>
        <w:tc>
          <w:tcPr>
            <w:tcW w:w="95" w:type="pct"/>
            <w:tcBorders>
              <w:top w:val="nil"/>
              <w:left w:val="nil"/>
              <w:bottom w:val="nil"/>
              <w:right w:val="nil"/>
            </w:tcBorders>
            <w:shd w:val="clear" w:color="auto" w:fill="auto"/>
            <w:noWrap/>
            <w:vAlign w:val="bottom"/>
            <w:hideMark/>
          </w:tcPr>
          <w:p w14:paraId="79E04E42" w14:textId="77777777" w:rsidR="00513EF1" w:rsidRPr="00513EF1" w:rsidRDefault="00513EF1" w:rsidP="00513EF1">
            <w:pPr>
              <w:spacing w:after="0" w:line="240" w:lineRule="auto"/>
              <w:jc w:val="center"/>
              <w:rPr>
                <w:rFonts w:ascii="Calibri" w:eastAsia="Times New Roman" w:hAnsi="Calibri" w:cs="Times New Roman"/>
                <w:b/>
                <w:bCs/>
                <w:color w:val="000000"/>
                <w:sz w:val="26"/>
                <w:szCs w:val="26"/>
                <w:lang w:eastAsia="sk-SK"/>
              </w:rPr>
            </w:pPr>
          </w:p>
        </w:tc>
        <w:tc>
          <w:tcPr>
            <w:tcW w:w="201" w:type="pct"/>
            <w:tcBorders>
              <w:top w:val="nil"/>
              <w:left w:val="nil"/>
              <w:bottom w:val="nil"/>
              <w:right w:val="nil"/>
            </w:tcBorders>
            <w:shd w:val="clear" w:color="auto" w:fill="auto"/>
            <w:noWrap/>
            <w:vAlign w:val="bottom"/>
            <w:hideMark/>
          </w:tcPr>
          <w:p w14:paraId="2D2730F7"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538E384A"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12125071"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63A4C58E"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r>
      <w:tr w:rsidR="00513EF1" w:rsidRPr="00513EF1" w14:paraId="2CB66144" w14:textId="77777777" w:rsidTr="00EC3A57">
        <w:trPr>
          <w:trHeight w:val="345"/>
        </w:trPr>
        <w:tc>
          <w:tcPr>
            <w:tcW w:w="543" w:type="pct"/>
            <w:tcBorders>
              <w:top w:val="nil"/>
              <w:left w:val="nil"/>
              <w:bottom w:val="nil"/>
              <w:right w:val="nil"/>
            </w:tcBorders>
            <w:shd w:val="clear" w:color="auto" w:fill="auto"/>
            <w:noWrap/>
            <w:vAlign w:val="bottom"/>
            <w:hideMark/>
          </w:tcPr>
          <w:p w14:paraId="69887419"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1160" w:type="pct"/>
            <w:tcBorders>
              <w:top w:val="nil"/>
              <w:left w:val="single" w:sz="4" w:space="0" w:color="auto"/>
              <w:bottom w:val="nil"/>
              <w:right w:val="nil"/>
            </w:tcBorders>
            <w:shd w:val="clear" w:color="auto" w:fill="auto"/>
            <w:noWrap/>
            <w:vAlign w:val="bottom"/>
            <w:hideMark/>
          </w:tcPr>
          <w:p w14:paraId="32DAC3BE"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r w:rsidRPr="00513EF1">
              <w:rPr>
                <w:rFonts w:ascii="Calibri" w:eastAsia="Times New Roman" w:hAnsi="Calibri" w:cs="Times New Roman"/>
                <w:color w:val="000000"/>
                <w:sz w:val="26"/>
                <w:szCs w:val="26"/>
                <w:lang w:eastAsia="sk-SK"/>
              </w:rPr>
              <w:t> </w:t>
            </w:r>
          </w:p>
        </w:tc>
        <w:tc>
          <w:tcPr>
            <w:tcW w:w="95" w:type="pct"/>
            <w:tcBorders>
              <w:top w:val="nil"/>
              <w:left w:val="nil"/>
              <w:bottom w:val="nil"/>
              <w:right w:val="nil"/>
            </w:tcBorders>
            <w:shd w:val="clear" w:color="auto" w:fill="auto"/>
            <w:noWrap/>
            <w:vAlign w:val="bottom"/>
            <w:hideMark/>
          </w:tcPr>
          <w:p w14:paraId="0D940FA4"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p>
        </w:tc>
        <w:tc>
          <w:tcPr>
            <w:tcW w:w="201" w:type="pct"/>
            <w:tcBorders>
              <w:top w:val="nil"/>
              <w:left w:val="nil"/>
              <w:bottom w:val="nil"/>
              <w:right w:val="nil"/>
            </w:tcBorders>
            <w:shd w:val="clear" w:color="auto" w:fill="auto"/>
            <w:noWrap/>
            <w:vAlign w:val="bottom"/>
            <w:hideMark/>
          </w:tcPr>
          <w:p w14:paraId="0428C23A"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2AAFCEAA"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815" w:type="pct"/>
            <w:tcBorders>
              <w:top w:val="nil"/>
              <w:left w:val="nil"/>
              <w:bottom w:val="single" w:sz="4" w:space="0" w:color="auto"/>
              <w:right w:val="nil"/>
            </w:tcBorders>
            <w:shd w:val="clear" w:color="auto" w:fill="auto"/>
            <w:noWrap/>
            <w:vAlign w:val="bottom"/>
            <w:hideMark/>
          </w:tcPr>
          <w:p w14:paraId="35980DF3"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815" w:type="pct"/>
            <w:tcBorders>
              <w:top w:val="nil"/>
              <w:left w:val="single" w:sz="4" w:space="0" w:color="auto"/>
              <w:bottom w:val="single" w:sz="4" w:space="0" w:color="auto"/>
              <w:right w:val="nil"/>
            </w:tcBorders>
            <w:shd w:val="clear" w:color="auto" w:fill="auto"/>
            <w:noWrap/>
            <w:vAlign w:val="bottom"/>
            <w:hideMark/>
          </w:tcPr>
          <w:p w14:paraId="255BF3FA"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r w:rsidRPr="00513EF1">
              <w:rPr>
                <w:rFonts w:ascii="Calibri" w:eastAsia="Times New Roman" w:hAnsi="Calibri" w:cs="Times New Roman"/>
                <w:color w:val="000000"/>
                <w:sz w:val="26"/>
                <w:szCs w:val="26"/>
                <w:lang w:eastAsia="sk-SK"/>
              </w:rPr>
              <w:t> </w:t>
            </w:r>
          </w:p>
        </w:tc>
        <w:tc>
          <w:tcPr>
            <w:tcW w:w="95" w:type="pct"/>
            <w:tcBorders>
              <w:top w:val="nil"/>
              <w:left w:val="nil"/>
              <w:bottom w:val="nil"/>
              <w:right w:val="nil"/>
            </w:tcBorders>
            <w:shd w:val="clear" w:color="auto" w:fill="auto"/>
            <w:noWrap/>
            <w:vAlign w:val="bottom"/>
            <w:hideMark/>
          </w:tcPr>
          <w:p w14:paraId="53AB8959"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p>
        </w:tc>
        <w:tc>
          <w:tcPr>
            <w:tcW w:w="201" w:type="pct"/>
            <w:tcBorders>
              <w:top w:val="nil"/>
              <w:left w:val="nil"/>
              <w:bottom w:val="nil"/>
              <w:right w:val="nil"/>
            </w:tcBorders>
            <w:shd w:val="clear" w:color="auto" w:fill="auto"/>
            <w:noWrap/>
            <w:vAlign w:val="bottom"/>
            <w:hideMark/>
          </w:tcPr>
          <w:p w14:paraId="76C0F8C4"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64146472"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7D5E6352"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29152EEF"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r>
      <w:tr w:rsidR="00513EF1" w:rsidRPr="00513EF1" w14:paraId="58125A38" w14:textId="77777777" w:rsidTr="00EC3A57">
        <w:trPr>
          <w:trHeight w:val="660"/>
        </w:trPr>
        <w:tc>
          <w:tcPr>
            <w:tcW w:w="1702" w:type="pct"/>
            <w:gridSpan w:val="2"/>
            <w:vMerge w:val="restart"/>
            <w:tcBorders>
              <w:top w:val="single" w:sz="4" w:space="0" w:color="auto"/>
              <w:left w:val="single" w:sz="4" w:space="0" w:color="auto"/>
              <w:bottom w:val="single" w:sz="4" w:space="0" w:color="000000"/>
              <w:right w:val="single" w:sz="4" w:space="0" w:color="000000"/>
            </w:tcBorders>
            <w:shd w:val="clear" w:color="000000" w:fill="D9D9D9"/>
            <w:vAlign w:val="center"/>
            <w:hideMark/>
          </w:tcPr>
          <w:p w14:paraId="6BBE2A65" w14:textId="77777777" w:rsidR="00513EF1" w:rsidRPr="00513EF1" w:rsidRDefault="00513EF1" w:rsidP="005C3645">
            <w:pPr>
              <w:spacing w:after="0" w:line="240" w:lineRule="auto"/>
              <w:jc w:val="center"/>
              <w:rPr>
                <w:rFonts w:ascii="Calibri" w:eastAsia="Times New Roman" w:hAnsi="Calibri" w:cs="Times New Roman"/>
                <w:b/>
                <w:bCs/>
                <w:color w:val="000000"/>
                <w:sz w:val="26"/>
                <w:szCs w:val="26"/>
                <w:lang w:eastAsia="sk-SK"/>
              </w:rPr>
            </w:pPr>
            <w:r w:rsidRPr="00513EF1">
              <w:rPr>
                <w:rFonts w:ascii="Calibri" w:eastAsia="Times New Roman" w:hAnsi="Calibri" w:cs="Times New Roman"/>
                <w:b/>
                <w:bCs/>
                <w:color w:val="000000"/>
                <w:sz w:val="26"/>
                <w:szCs w:val="26"/>
                <w:lang w:eastAsia="sk-SK"/>
              </w:rPr>
              <w:t xml:space="preserve">Žiadne </w:t>
            </w:r>
            <w:proofErr w:type="spellStart"/>
            <w:r w:rsidR="005C3645">
              <w:rPr>
                <w:rFonts w:ascii="Calibri" w:eastAsia="Times New Roman" w:hAnsi="Calibri" w:cs="Times New Roman"/>
                <w:b/>
                <w:bCs/>
                <w:color w:val="000000"/>
                <w:sz w:val="26"/>
                <w:szCs w:val="26"/>
                <w:lang w:eastAsia="sk-SK"/>
              </w:rPr>
              <w:t>indexačné</w:t>
            </w:r>
            <w:proofErr w:type="spellEnd"/>
            <w:r w:rsidRPr="00513EF1">
              <w:rPr>
                <w:rFonts w:ascii="Calibri" w:eastAsia="Times New Roman" w:hAnsi="Calibri" w:cs="Times New Roman"/>
                <w:b/>
                <w:bCs/>
                <w:color w:val="000000"/>
                <w:sz w:val="26"/>
                <w:szCs w:val="26"/>
                <w:lang w:eastAsia="sk-SK"/>
              </w:rPr>
              <w:t xml:space="preserve"> mechanizmy nie sú v </w:t>
            </w:r>
            <w:proofErr w:type="spellStart"/>
            <w:r w:rsidRPr="00513EF1">
              <w:rPr>
                <w:rFonts w:ascii="Calibri" w:eastAsia="Times New Roman" w:hAnsi="Calibri" w:cs="Times New Roman"/>
                <w:b/>
                <w:bCs/>
                <w:color w:val="000000"/>
                <w:sz w:val="26"/>
                <w:szCs w:val="26"/>
                <w:lang w:eastAsia="sk-SK"/>
              </w:rPr>
              <w:t>ZoD</w:t>
            </w:r>
            <w:proofErr w:type="spellEnd"/>
            <w:r w:rsidRPr="00513EF1">
              <w:rPr>
                <w:rFonts w:ascii="Calibri" w:eastAsia="Times New Roman" w:hAnsi="Calibri" w:cs="Times New Roman"/>
                <w:b/>
                <w:bCs/>
                <w:color w:val="000000"/>
                <w:sz w:val="26"/>
                <w:szCs w:val="26"/>
                <w:lang w:eastAsia="sk-SK"/>
              </w:rPr>
              <w:t xml:space="preserve"> uved</w:t>
            </w:r>
            <w:bookmarkStart w:id="1" w:name="_GoBack"/>
            <w:bookmarkEnd w:id="1"/>
            <w:r w:rsidRPr="00513EF1">
              <w:rPr>
                <w:rFonts w:ascii="Calibri" w:eastAsia="Times New Roman" w:hAnsi="Calibri" w:cs="Times New Roman"/>
                <w:b/>
                <w:bCs/>
                <w:color w:val="000000"/>
                <w:sz w:val="26"/>
                <w:szCs w:val="26"/>
                <w:lang w:eastAsia="sk-SK"/>
              </w:rPr>
              <w:t>ené?</w:t>
            </w:r>
          </w:p>
        </w:tc>
        <w:tc>
          <w:tcPr>
            <w:tcW w:w="95" w:type="pct"/>
            <w:tcBorders>
              <w:top w:val="nil"/>
              <w:left w:val="nil"/>
              <w:bottom w:val="nil"/>
              <w:right w:val="nil"/>
            </w:tcBorders>
            <w:shd w:val="clear" w:color="auto" w:fill="auto"/>
            <w:noWrap/>
            <w:vAlign w:val="bottom"/>
            <w:hideMark/>
          </w:tcPr>
          <w:p w14:paraId="796D4379" w14:textId="77777777" w:rsidR="00513EF1" w:rsidRPr="00513EF1" w:rsidRDefault="00513EF1" w:rsidP="00513EF1">
            <w:pPr>
              <w:spacing w:after="0" w:line="240" w:lineRule="auto"/>
              <w:jc w:val="center"/>
              <w:rPr>
                <w:rFonts w:ascii="Calibri" w:eastAsia="Times New Roman" w:hAnsi="Calibri" w:cs="Times New Roman"/>
                <w:b/>
                <w:bCs/>
                <w:color w:val="000000"/>
                <w:sz w:val="26"/>
                <w:szCs w:val="26"/>
                <w:lang w:eastAsia="sk-SK"/>
              </w:rPr>
            </w:pPr>
          </w:p>
        </w:tc>
        <w:tc>
          <w:tcPr>
            <w:tcW w:w="201" w:type="pct"/>
            <w:tcBorders>
              <w:top w:val="nil"/>
              <w:left w:val="nil"/>
              <w:bottom w:val="nil"/>
              <w:right w:val="nil"/>
            </w:tcBorders>
            <w:shd w:val="clear" w:color="auto" w:fill="auto"/>
            <w:noWrap/>
            <w:vAlign w:val="bottom"/>
            <w:hideMark/>
          </w:tcPr>
          <w:p w14:paraId="6FC2709D"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11673A63"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1630" w:type="pct"/>
            <w:gridSpan w:val="2"/>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037AB7A" w14:textId="77777777" w:rsidR="00513EF1" w:rsidRPr="00513EF1" w:rsidRDefault="005C3645" w:rsidP="00513EF1">
            <w:pPr>
              <w:spacing w:after="0" w:line="240" w:lineRule="auto"/>
              <w:jc w:val="center"/>
              <w:rPr>
                <w:rFonts w:ascii="Calibri" w:eastAsia="Times New Roman" w:hAnsi="Calibri" w:cs="Times New Roman"/>
                <w:b/>
                <w:bCs/>
                <w:color w:val="000000"/>
                <w:sz w:val="26"/>
                <w:szCs w:val="26"/>
                <w:lang w:eastAsia="sk-SK"/>
              </w:rPr>
            </w:pPr>
            <w:r>
              <w:rPr>
                <w:rFonts w:ascii="Calibri" w:eastAsia="Times New Roman" w:hAnsi="Calibri" w:cs="Times New Roman"/>
                <w:b/>
                <w:bCs/>
                <w:color w:val="000000"/>
                <w:sz w:val="26"/>
                <w:szCs w:val="26"/>
                <w:lang w:eastAsia="sk-SK"/>
              </w:rPr>
              <w:t xml:space="preserve">Indexuje </w:t>
            </w:r>
            <w:r w:rsidR="00513EF1" w:rsidRPr="00513EF1">
              <w:rPr>
                <w:rFonts w:ascii="Calibri" w:eastAsia="Times New Roman" w:hAnsi="Calibri" w:cs="Times New Roman"/>
                <w:b/>
                <w:bCs/>
                <w:color w:val="000000"/>
                <w:sz w:val="26"/>
                <w:szCs w:val="26"/>
                <w:lang w:eastAsia="sk-SK"/>
              </w:rPr>
              <w:t xml:space="preserve">sa aj podľa MP 27/2022 aj MP 06/2018, </w:t>
            </w:r>
          </w:p>
          <w:p w14:paraId="32BA340C" w14:textId="77777777" w:rsidR="00513EF1" w:rsidRPr="00513EF1" w:rsidRDefault="00513EF1" w:rsidP="00513EF1">
            <w:pPr>
              <w:spacing w:after="0" w:line="240" w:lineRule="auto"/>
              <w:jc w:val="center"/>
              <w:rPr>
                <w:rFonts w:ascii="Calibri" w:eastAsia="Times New Roman" w:hAnsi="Calibri" w:cs="Times New Roman"/>
                <w:b/>
                <w:bCs/>
                <w:color w:val="000000"/>
                <w:sz w:val="26"/>
                <w:szCs w:val="26"/>
                <w:lang w:eastAsia="sk-SK"/>
              </w:rPr>
            </w:pPr>
            <w:r w:rsidRPr="00513EF1">
              <w:rPr>
                <w:rFonts w:ascii="Calibri" w:eastAsia="Times New Roman" w:hAnsi="Calibri" w:cs="Times New Roman"/>
                <w:bCs/>
                <w:color w:val="000000"/>
                <w:sz w:val="26"/>
                <w:szCs w:val="26"/>
                <w:lang w:eastAsia="sk-SK"/>
              </w:rPr>
              <w:t>z výpočtu podľa MP 27/2022 sa však preplatí iba kladný rozdiel oproti nároku podľa Zmluvy</w:t>
            </w:r>
          </w:p>
        </w:tc>
        <w:tc>
          <w:tcPr>
            <w:tcW w:w="95" w:type="pct"/>
            <w:tcBorders>
              <w:top w:val="nil"/>
              <w:left w:val="single" w:sz="4" w:space="0" w:color="auto"/>
              <w:bottom w:val="nil"/>
              <w:right w:val="nil"/>
            </w:tcBorders>
            <w:shd w:val="clear" w:color="auto" w:fill="auto"/>
            <w:noWrap/>
            <w:vAlign w:val="bottom"/>
            <w:hideMark/>
          </w:tcPr>
          <w:p w14:paraId="2C6B8A33" w14:textId="77777777" w:rsidR="00513EF1" w:rsidRPr="00513EF1" w:rsidRDefault="00513EF1" w:rsidP="00513EF1">
            <w:pPr>
              <w:spacing w:after="0" w:line="240" w:lineRule="auto"/>
              <w:jc w:val="center"/>
              <w:rPr>
                <w:rFonts w:ascii="Calibri" w:eastAsia="Times New Roman" w:hAnsi="Calibri" w:cs="Times New Roman"/>
                <w:b/>
                <w:bCs/>
                <w:color w:val="000000"/>
                <w:sz w:val="26"/>
                <w:szCs w:val="26"/>
                <w:lang w:eastAsia="sk-SK"/>
              </w:rPr>
            </w:pPr>
          </w:p>
        </w:tc>
        <w:tc>
          <w:tcPr>
            <w:tcW w:w="201" w:type="pct"/>
            <w:tcBorders>
              <w:top w:val="nil"/>
              <w:left w:val="nil"/>
              <w:bottom w:val="nil"/>
              <w:right w:val="nil"/>
            </w:tcBorders>
            <w:shd w:val="clear" w:color="auto" w:fill="auto"/>
            <w:noWrap/>
            <w:vAlign w:val="bottom"/>
            <w:hideMark/>
          </w:tcPr>
          <w:p w14:paraId="34A19833"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3658B5EB"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0447C69A"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509AA755"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r>
      <w:tr w:rsidR="00513EF1" w:rsidRPr="00513EF1" w14:paraId="4B311060" w14:textId="77777777" w:rsidTr="00EC3A57">
        <w:trPr>
          <w:trHeight w:val="660"/>
        </w:trPr>
        <w:tc>
          <w:tcPr>
            <w:tcW w:w="1702" w:type="pct"/>
            <w:gridSpan w:val="2"/>
            <w:vMerge/>
            <w:tcBorders>
              <w:top w:val="single" w:sz="4" w:space="0" w:color="auto"/>
              <w:left w:val="single" w:sz="4" w:space="0" w:color="auto"/>
              <w:bottom w:val="single" w:sz="4" w:space="0" w:color="000000"/>
              <w:right w:val="single" w:sz="4" w:space="0" w:color="000000"/>
            </w:tcBorders>
            <w:vAlign w:val="center"/>
            <w:hideMark/>
          </w:tcPr>
          <w:p w14:paraId="531BF73A" w14:textId="77777777" w:rsidR="00513EF1" w:rsidRPr="00513EF1" w:rsidRDefault="00513EF1" w:rsidP="00513EF1">
            <w:pPr>
              <w:spacing w:after="0" w:line="240" w:lineRule="auto"/>
              <w:rPr>
                <w:rFonts w:ascii="Calibri" w:eastAsia="Times New Roman" w:hAnsi="Calibri" w:cs="Times New Roman"/>
                <w:b/>
                <w:bCs/>
                <w:color w:val="000000"/>
                <w:sz w:val="26"/>
                <w:szCs w:val="26"/>
                <w:lang w:eastAsia="sk-SK"/>
              </w:rPr>
            </w:pPr>
          </w:p>
        </w:tc>
        <w:tc>
          <w:tcPr>
            <w:tcW w:w="95" w:type="pct"/>
            <w:tcBorders>
              <w:top w:val="nil"/>
              <w:left w:val="nil"/>
              <w:bottom w:val="nil"/>
              <w:right w:val="nil"/>
            </w:tcBorders>
            <w:shd w:val="clear" w:color="auto" w:fill="auto"/>
            <w:noWrap/>
            <w:vAlign w:val="bottom"/>
            <w:hideMark/>
          </w:tcPr>
          <w:p w14:paraId="72E84096"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201" w:type="pct"/>
            <w:tcBorders>
              <w:top w:val="nil"/>
              <w:left w:val="nil"/>
              <w:bottom w:val="nil"/>
              <w:right w:val="nil"/>
            </w:tcBorders>
            <w:shd w:val="clear" w:color="auto" w:fill="auto"/>
            <w:noWrap/>
            <w:vAlign w:val="bottom"/>
            <w:hideMark/>
          </w:tcPr>
          <w:p w14:paraId="5302B67F"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single" w:sz="4" w:space="0" w:color="auto"/>
            </w:tcBorders>
            <w:shd w:val="clear" w:color="auto" w:fill="auto"/>
            <w:noWrap/>
            <w:vAlign w:val="bottom"/>
            <w:hideMark/>
          </w:tcPr>
          <w:p w14:paraId="2A2017A8"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1630" w:type="pct"/>
            <w:gridSpan w:val="2"/>
            <w:vMerge/>
            <w:tcBorders>
              <w:top w:val="single" w:sz="4" w:space="0" w:color="000000"/>
              <w:left w:val="single" w:sz="4" w:space="0" w:color="auto"/>
              <w:bottom w:val="single" w:sz="4" w:space="0" w:color="auto"/>
              <w:right w:val="single" w:sz="4" w:space="0" w:color="auto"/>
            </w:tcBorders>
            <w:vAlign w:val="center"/>
            <w:hideMark/>
          </w:tcPr>
          <w:p w14:paraId="2C3842A0" w14:textId="77777777" w:rsidR="00513EF1" w:rsidRPr="00513EF1" w:rsidRDefault="00513EF1" w:rsidP="00513EF1">
            <w:pPr>
              <w:spacing w:after="0" w:line="240" w:lineRule="auto"/>
              <w:rPr>
                <w:rFonts w:ascii="Calibri" w:eastAsia="Times New Roman" w:hAnsi="Calibri" w:cs="Times New Roman"/>
                <w:b/>
                <w:bCs/>
                <w:color w:val="000000"/>
                <w:sz w:val="26"/>
                <w:szCs w:val="26"/>
                <w:lang w:eastAsia="sk-SK"/>
              </w:rPr>
            </w:pPr>
          </w:p>
        </w:tc>
        <w:tc>
          <w:tcPr>
            <w:tcW w:w="95" w:type="pct"/>
            <w:tcBorders>
              <w:top w:val="nil"/>
              <w:left w:val="single" w:sz="4" w:space="0" w:color="auto"/>
              <w:bottom w:val="nil"/>
              <w:right w:val="nil"/>
            </w:tcBorders>
            <w:shd w:val="clear" w:color="auto" w:fill="auto"/>
            <w:noWrap/>
            <w:vAlign w:val="bottom"/>
            <w:hideMark/>
          </w:tcPr>
          <w:p w14:paraId="0560CF9E"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201" w:type="pct"/>
            <w:tcBorders>
              <w:top w:val="nil"/>
              <w:left w:val="nil"/>
              <w:bottom w:val="nil"/>
              <w:right w:val="nil"/>
            </w:tcBorders>
            <w:shd w:val="clear" w:color="auto" w:fill="auto"/>
            <w:noWrap/>
            <w:vAlign w:val="bottom"/>
            <w:hideMark/>
          </w:tcPr>
          <w:p w14:paraId="6E098B8E"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7F3BB866"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311E1DF6"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6B703869"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r>
      <w:tr w:rsidR="00513EF1" w:rsidRPr="00513EF1" w14:paraId="27725B42" w14:textId="77777777" w:rsidTr="00EC3A57">
        <w:trPr>
          <w:trHeight w:val="345"/>
        </w:trPr>
        <w:tc>
          <w:tcPr>
            <w:tcW w:w="543" w:type="pct"/>
            <w:tcBorders>
              <w:top w:val="nil"/>
              <w:left w:val="nil"/>
              <w:bottom w:val="nil"/>
              <w:right w:val="nil"/>
            </w:tcBorders>
            <w:shd w:val="clear" w:color="auto" w:fill="auto"/>
            <w:noWrap/>
            <w:vAlign w:val="bottom"/>
            <w:hideMark/>
          </w:tcPr>
          <w:p w14:paraId="344E1302"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1160" w:type="pct"/>
            <w:tcBorders>
              <w:top w:val="nil"/>
              <w:left w:val="single" w:sz="4" w:space="0" w:color="auto"/>
              <w:bottom w:val="nil"/>
              <w:right w:val="nil"/>
            </w:tcBorders>
            <w:shd w:val="clear" w:color="auto" w:fill="auto"/>
            <w:noWrap/>
            <w:vAlign w:val="bottom"/>
            <w:hideMark/>
          </w:tcPr>
          <w:p w14:paraId="323C0F4A"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r w:rsidRPr="00513EF1">
              <w:rPr>
                <w:rFonts w:ascii="Calibri" w:eastAsia="Times New Roman" w:hAnsi="Calibri" w:cs="Times New Roman"/>
                <w:color w:val="000000"/>
                <w:sz w:val="26"/>
                <w:szCs w:val="26"/>
                <w:lang w:eastAsia="sk-SK"/>
              </w:rPr>
              <w:t> </w:t>
            </w:r>
          </w:p>
        </w:tc>
        <w:tc>
          <w:tcPr>
            <w:tcW w:w="95" w:type="pct"/>
            <w:tcBorders>
              <w:top w:val="nil"/>
              <w:left w:val="nil"/>
              <w:bottom w:val="nil"/>
              <w:right w:val="nil"/>
            </w:tcBorders>
            <w:shd w:val="clear" w:color="auto" w:fill="auto"/>
            <w:noWrap/>
            <w:vAlign w:val="bottom"/>
            <w:hideMark/>
          </w:tcPr>
          <w:p w14:paraId="45236260"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p>
        </w:tc>
        <w:tc>
          <w:tcPr>
            <w:tcW w:w="201" w:type="pct"/>
            <w:tcBorders>
              <w:top w:val="nil"/>
              <w:left w:val="nil"/>
              <w:bottom w:val="nil"/>
              <w:right w:val="nil"/>
            </w:tcBorders>
            <w:shd w:val="clear" w:color="auto" w:fill="auto"/>
            <w:noWrap/>
            <w:vAlign w:val="bottom"/>
            <w:hideMark/>
          </w:tcPr>
          <w:p w14:paraId="7981C434"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0250FC1A"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1630" w:type="pct"/>
            <w:gridSpan w:val="2"/>
            <w:tcBorders>
              <w:top w:val="single" w:sz="4" w:space="0" w:color="auto"/>
              <w:left w:val="nil"/>
              <w:bottom w:val="nil"/>
              <w:right w:val="nil"/>
            </w:tcBorders>
            <w:shd w:val="clear" w:color="auto" w:fill="auto"/>
            <w:noWrap/>
            <w:vAlign w:val="bottom"/>
            <w:hideMark/>
          </w:tcPr>
          <w:p w14:paraId="77E412A3" w14:textId="77777777" w:rsidR="00513EF1" w:rsidRPr="00513EF1" w:rsidRDefault="00513EF1" w:rsidP="00513EF1">
            <w:pPr>
              <w:spacing w:after="0" w:line="240" w:lineRule="auto"/>
              <w:rPr>
                <w:rFonts w:ascii="Calibri" w:eastAsia="Times New Roman" w:hAnsi="Calibri" w:cs="Times New Roman"/>
                <w:color w:val="0070C0"/>
                <w:sz w:val="26"/>
                <w:szCs w:val="26"/>
                <w:lang w:eastAsia="sk-SK"/>
              </w:rPr>
            </w:pPr>
            <w:r w:rsidRPr="00513EF1">
              <w:rPr>
                <w:rFonts w:ascii="Calibri" w:eastAsia="Times New Roman" w:hAnsi="Calibri" w:cs="Times New Roman"/>
                <w:color w:val="0070C0"/>
                <w:sz w:val="26"/>
                <w:szCs w:val="26"/>
                <w:lang w:eastAsia="sk-SK"/>
              </w:rPr>
              <w:t>§ 18, ods. 1 písm. a) ZVO</w:t>
            </w:r>
          </w:p>
        </w:tc>
        <w:tc>
          <w:tcPr>
            <w:tcW w:w="95" w:type="pct"/>
            <w:tcBorders>
              <w:top w:val="nil"/>
              <w:left w:val="nil"/>
              <w:bottom w:val="nil"/>
              <w:right w:val="nil"/>
            </w:tcBorders>
            <w:shd w:val="clear" w:color="auto" w:fill="auto"/>
            <w:noWrap/>
            <w:vAlign w:val="bottom"/>
            <w:hideMark/>
          </w:tcPr>
          <w:p w14:paraId="03ABE2F8" w14:textId="77777777" w:rsidR="00513EF1" w:rsidRPr="00513EF1" w:rsidRDefault="00513EF1" w:rsidP="00513EF1">
            <w:pPr>
              <w:spacing w:after="0" w:line="240" w:lineRule="auto"/>
              <w:rPr>
                <w:rFonts w:ascii="Calibri" w:eastAsia="Times New Roman" w:hAnsi="Calibri" w:cs="Times New Roman"/>
                <w:color w:val="0070C0"/>
                <w:sz w:val="26"/>
                <w:szCs w:val="26"/>
                <w:lang w:eastAsia="sk-SK"/>
              </w:rPr>
            </w:pPr>
          </w:p>
        </w:tc>
        <w:tc>
          <w:tcPr>
            <w:tcW w:w="201" w:type="pct"/>
            <w:tcBorders>
              <w:top w:val="nil"/>
              <w:left w:val="nil"/>
              <w:bottom w:val="nil"/>
              <w:right w:val="nil"/>
            </w:tcBorders>
            <w:shd w:val="clear" w:color="auto" w:fill="auto"/>
            <w:noWrap/>
            <w:vAlign w:val="bottom"/>
            <w:hideMark/>
          </w:tcPr>
          <w:p w14:paraId="742EEFED"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47B73AE7"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5B5B87A8"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61702CC5"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r>
      <w:tr w:rsidR="00513EF1" w:rsidRPr="00513EF1" w14:paraId="4EA91EBF" w14:textId="77777777" w:rsidTr="00EC3A57">
        <w:trPr>
          <w:trHeight w:val="345"/>
        </w:trPr>
        <w:tc>
          <w:tcPr>
            <w:tcW w:w="1702" w:type="pct"/>
            <w:gridSpan w:val="2"/>
            <w:tcBorders>
              <w:top w:val="nil"/>
              <w:left w:val="nil"/>
              <w:bottom w:val="nil"/>
              <w:right w:val="nil"/>
            </w:tcBorders>
            <w:shd w:val="clear" w:color="auto" w:fill="auto"/>
            <w:noWrap/>
            <w:vAlign w:val="center"/>
            <w:hideMark/>
          </w:tcPr>
          <w:p w14:paraId="6923B6B6" w14:textId="77777777" w:rsidR="00513EF1" w:rsidRPr="00513EF1" w:rsidRDefault="00513EF1" w:rsidP="00513EF1">
            <w:pPr>
              <w:spacing w:after="0" w:line="240" w:lineRule="auto"/>
              <w:rPr>
                <w:rFonts w:ascii="Calibri" w:eastAsia="Times New Roman" w:hAnsi="Calibri" w:cs="Times New Roman"/>
                <w:b/>
                <w:bCs/>
                <w:color w:val="000000"/>
                <w:sz w:val="26"/>
                <w:szCs w:val="26"/>
                <w:lang w:eastAsia="sk-SK"/>
              </w:rPr>
            </w:pPr>
            <w:r w:rsidRPr="00513EF1">
              <w:rPr>
                <w:rFonts w:ascii="Calibri" w:eastAsia="Times New Roman" w:hAnsi="Calibri" w:cs="Times New Roman"/>
                <w:b/>
                <w:bCs/>
                <w:color w:val="000000"/>
                <w:sz w:val="26"/>
                <w:szCs w:val="26"/>
                <w:lang w:eastAsia="sk-SK"/>
              </w:rPr>
              <w:t xml:space="preserve">           áno</w:t>
            </w:r>
          </w:p>
        </w:tc>
        <w:tc>
          <w:tcPr>
            <w:tcW w:w="95" w:type="pct"/>
            <w:tcBorders>
              <w:top w:val="nil"/>
              <w:left w:val="nil"/>
              <w:bottom w:val="nil"/>
              <w:right w:val="nil"/>
            </w:tcBorders>
            <w:shd w:val="clear" w:color="auto" w:fill="auto"/>
            <w:noWrap/>
            <w:vAlign w:val="bottom"/>
            <w:hideMark/>
          </w:tcPr>
          <w:p w14:paraId="1A2545C0" w14:textId="77777777" w:rsidR="00513EF1" w:rsidRPr="00513EF1" w:rsidRDefault="00513EF1" w:rsidP="00513EF1">
            <w:pPr>
              <w:spacing w:after="0" w:line="240" w:lineRule="auto"/>
              <w:jc w:val="center"/>
              <w:rPr>
                <w:rFonts w:ascii="Calibri" w:eastAsia="Times New Roman" w:hAnsi="Calibri" w:cs="Times New Roman"/>
                <w:b/>
                <w:bCs/>
                <w:color w:val="000000"/>
                <w:sz w:val="26"/>
                <w:szCs w:val="26"/>
                <w:lang w:eastAsia="sk-SK"/>
              </w:rPr>
            </w:pPr>
          </w:p>
        </w:tc>
        <w:tc>
          <w:tcPr>
            <w:tcW w:w="201" w:type="pct"/>
            <w:tcBorders>
              <w:top w:val="nil"/>
              <w:left w:val="nil"/>
              <w:bottom w:val="nil"/>
              <w:right w:val="nil"/>
            </w:tcBorders>
            <w:shd w:val="clear" w:color="auto" w:fill="auto"/>
            <w:noWrap/>
            <w:vAlign w:val="bottom"/>
            <w:hideMark/>
          </w:tcPr>
          <w:p w14:paraId="22F1A43A"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2B3617DE"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1630" w:type="pct"/>
            <w:gridSpan w:val="2"/>
            <w:tcBorders>
              <w:top w:val="nil"/>
              <w:left w:val="nil"/>
              <w:bottom w:val="nil"/>
              <w:right w:val="nil"/>
            </w:tcBorders>
            <w:shd w:val="clear" w:color="auto" w:fill="auto"/>
            <w:noWrap/>
            <w:vAlign w:val="bottom"/>
            <w:hideMark/>
          </w:tcPr>
          <w:p w14:paraId="553E6E79" w14:textId="77777777" w:rsidR="00513EF1" w:rsidRPr="00513EF1" w:rsidRDefault="00513EF1" w:rsidP="00513EF1">
            <w:pPr>
              <w:spacing w:after="0" w:line="240" w:lineRule="auto"/>
              <w:rPr>
                <w:rFonts w:ascii="Calibri" w:eastAsia="Times New Roman" w:hAnsi="Calibri" w:cs="Times New Roman"/>
                <w:color w:val="00B050"/>
                <w:sz w:val="26"/>
                <w:szCs w:val="26"/>
                <w:lang w:eastAsia="sk-SK"/>
              </w:rPr>
            </w:pPr>
            <w:r w:rsidRPr="00513EF1">
              <w:rPr>
                <w:rFonts w:ascii="Calibri" w:eastAsia="Times New Roman" w:hAnsi="Calibri" w:cs="Times New Roman"/>
                <w:color w:val="00B050"/>
                <w:sz w:val="26"/>
                <w:szCs w:val="26"/>
                <w:lang w:eastAsia="sk-SK"/>
              </w:rPr>
              <w:t>§ 18, ods. 1 písm. c) alebo odsek 3 písm. a) ZVO</w:t>
            </w:r>
          </w:p>
        </w:tc>
        <w:tc>
          <w:tcPr>
            <w:tcW w:w="95" w:type="pct"/>
            <w:tcBorders>
              <w:top w:val="nil"/>
              <w:left w:val="nil"/>
              <w:bottom w:val="nil"/>
              <w:right w:val="nil"/>
            </w:tcBorders>
            <w:shd w:val="clear" w:color="auto" w:fill="auto"/>
            <w:noWrap/>
            <w:vAlign w:val="bottom"/>
            <w:hideMark/>
          </w:tcPr>
          <w:p w14:paraId="5720F518" w14:textId="77777777" w:rsidR="00513EF1" w:rsidRPr="00513EF1" w:rsidRDefault="00513EF1" w:rsidP="00513EF1">
            <w:pPr>
              <w:spacing w:after="0" w:line="240" w:lineRule="auto"/>
              <w:rPr>
                <w:rFonts w:ascii="Calibri" w:eastAsia="Times New Roman" w:hAnsi="Calibri" w:cs="Times New Roman"/>
                <w:color w:val="00B050"/>
                <w:sz w:val="26"/>
                <w:szCs w:val="26"/>
                <w:lang w:eastAsia="sk-SK"/>
              </w:rPr>
            </w:pPr>
          </w:p>
        </w:tc>
        <w:tc>
          <w:tcPr>
            <w:tcW w:w="201" w:type="pct"/>
            <w:tcBorders>
              <w:top w:val="nil"/>
              <w:left w:val="nil"/>
              <w:bottom w:val="nil"/>
              <w:right w:val="nil"/>
            </w:tcBorders>
            <w:shd w:val="clear" w:color="auto" w:fill="auto"/>
            <w:noWrap/>
            <w:vAlign w:val="bottom"/>
            <w:hideMark/>
          </w:tcPr>
          <w:p w14:paraId="26676B18"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6884353C"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32FB1D82"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66A7CE7A"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r>
      <w:tr w:rsidR="00513EF1" w:rsidRPr="00513EF1" w14:paraId="25E7667D" w14:textId="77777777" w:rsidTr="00EC3A57">
        <w:trPr>
          <w:trHeight w:val="345"/>
        </w:trPr>
        <w:tc>
          <w:tcPr>
            <w:tcW w:w="543" w:type="pct"/>
            <w:tcBorders>
              <w:top w:val="nil"/>
              <w:left w:val="nil"/>
              <w:bottom w:val="nil"/>
              <w:right w:val="nil"/>
            </w:tcBorders>
            <w:shd w:val="clear" w:color="auto" w:fill="auto"/>
            <w:noWrap/>
            <w:vAlign w:val="bottom"/>
            <w:hideMark/>
          </w:tcPr>
          <w:p w14:paraId="490D6BF7"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1160" w:type="pct"/>
            <w:tcBorders>
              <w:top w:val="nil"/>
              <w:left w:val="single" w:sz="4" w:space="0" w:color="auto"/>
              <w:bottom w:val="nil"/>
              <w:right w:val="nil"/>
            </w:tcBorders>
            <w:shd w:val="clear" w:color="auto" w:fill="auto"/>
            <w:noWrap/>
            <w:vAlign w:val="bottom"/>
            <w:hideMark/>
          </w:tcPr>
          <w:p w14:paraId="22F3AFC2"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r w:rsidRPr="00513EF1">
              <w:rPr>
                <w:rFonts w:ascii="Calibri" w:eastAsia="Times New Roman" w:hAnsi="Calibri" w:cs="Times New Roman"/>
                <w:color w:val="000000"/>
                <w:sz w:val="26"/>
                <w:szCs w:val="26"/>
                <w:lang w:eastAsia="sk-SK"/>
              </w:rPr>
              <w:t> </w:t>
            </w:r>
          </w:p>
        </w:tc>
        <w:tc>
          <w:tcPr>
            <w:tcW w:w="95" w:type="pct"/>
            <w:tcBorders>
              <w:top w:val="nil"/>
              <w:left w:val="nil"/>
              <w:bottom w:val="nil"/>
              <w:right w:val="nil"/>
            </w:tcBorders>
            <w:shd w:val="clear" w:color="auto" w:fill="auto"/>
            <w:noWrap/>
            <w:vAlign w:val="bottom"/>
            <w:hideMark/>
          </w:tcPr>
          <w:p w14:paraId="79AA74D3"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p>
        </w:tc>
        <w:tc>
          <w:tcPr>
            <w:tcW w:w="201" w:type="pct"/>
            <w:tcBorders>
              <w:top w:val="nil"/>
              <w:left w:val="nil"/>
              <w:bottom w:val="nil"/>
              <w:right w:val="nil"/>
            </w:tcBorders>
            <w:shd w:val="clear" w:color="auto" w:fill="auto"/>
            <w:noWrap/>
            <w:vAlign w:val="center"/>
            <w:hideMark/>
          </w:tcPr>
          <w:p w14:paraId="1B50AA35"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center"/>
            <w:hideMark/>
          </w:tcPr>
          <w:p w14:paraId="009E67EF" w14:textId="77777777" w:rsidR="00513EF1" w:rsidRPr="00513EF1" w:rsidRDefault="00513EF1" w:rsidP="00513EF1">
            <w:pPr>
              <w:spacing w:after="0" w:line="240" w:lineRule="auto"/>
              <w:jc w:val="center"/>
              <w:rPr>
                <w:rFonts w:ascii="Times New Roman" w:eastAsia="Times New Roman" w:hAnsi="Times New Roman" w:cs="Times New Roman"/>
                <w:sz w:val="20"/>
                <w:szCs w:val="20"/>
                <w:lang w:eastAsia="sk-SK"/>
              </w:rPr>
            </w:pPr>
          </w:p>
        </w:tc>
        <w:tc>
          <w:tcPr>
            <w:tcW w:w="815" w:type="pct"/>
            <w:tcBorders>
              <w:top w:val="nil"/>
              <w:left w:val="nil"/>
              <w:bottom w:val="nil"/>
              <w:right w:val="nil"/>
            </w:tcBorders>
            <w:shd w:val="clear" w:color="auto" w:fill="auto"/>
            <w:noWrap/>
            <w:vAlign w:val="bottom"/>
            <w:hideMark/>
          </w:tcPr>
          <w:p w14:paraId="5805E389" w14:textId="77777777" w:rsidR="00513EF1" w:rsidRPr="00513EF1" w:rsidRDefault="00513EF1" w:rsidP="00513EF1">
            <w:pPr>
              <w:spacing w:after="0" w:line="240" w:lineRule="auto"/>
              <w:jc w:val="center"/>
              <w:rPr>
                <w:rFonts w:ascii="Times New Roman" w:eastAsia="Times New Roman" w:hAnsi="Times New Roman" w:cs="Times New Roman"/>
                <w:sz w:val="20"/>
                <w:szCs w:val="20"/>
                <w:lang w:eastAsia="sk-SK"/>
              </w:rPr>
            </w:pPr>
          </w:p>
        </w:tc>
        <w:tc>
          <w:tcPr>
            <w:tcW w:w="815" w:type="pct"/>
            <w:tcBorders>
              <w:top w:val="nil"/>
              <w:left w:val="nil"/>
              <w:bottom w:val="nil"/>
              <w:right w:val="nil"/>
            </w:tcBorders>
            <w:shd w:val="clear" w:color="auto" w:fill="auto"/>
            <w:noWrap/>
            <w:vAlign w:val="bottom"/>
            <w:hideMark/>
          </w:tcPr>
          <w:p w14:paraId="74F6E2F2"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3E6D63F6"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201" w:type="pct"/>
            <w:tcBorders>
              <w:top w:val="nil"/>
              <w:left w:val="nil"/>
              <w:bottom w:val="nil"/>
              <w:right w:val="nil"/>
            </w:tcBorders>
            <w:shd w:val="clear" w:color="auto" w:fill="auto"/>
            <w:noWrap/>
            <w:vAlign w:val="bottom"/>
            <w:hideMark/>
          </w:tcPr>
          <w:p w14:paraId="05A0AC90"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0008BBC6"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6A185BE4"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438A262D"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r>
      <w:tr w:rsidR="00513EF1" w:rsidRPr="00513EF1" w14:paraId="7278D399" w14:textId="77777777" w:rsidTr="00EC3A57">
        <w:trPr>
          <w:trHeight w:val="660"/>
        </w:trPr>
        <w:tc>
          <w:tcPr>
            <w:tcW w:w="1702" w:type="pct"/>
            <w:gridSpan w:val="2"/>
            <w:vMerge w:val="restart"/>
            <w:tcBorders>
              <w:top w:val="single" w:sz="4" w:space="0" w:color="auto"/>
              <w:left w:val="single" w:sz="4" w:space="0" w:color="auto"/>
              <w:bottom w:val="single" w:sz="4" w:space="0" w:color="000000"/>
              <w:right w:val="single" w:sz="4" w:space="0" w:color="000000"/>
            </w:tcBorders>
            <w:shd w:val="clear" w:color="000000" w:fill="D9D9D9"/>
            <w:vAlign w:val="center"/>
            <w:hideMark/>
          </w:tcPr>
          <w:p w14:paraId="39539098" w14:textId="77777777" w:rsidR="00513EF1" w:rsidRPr="00513EF1" w:rsidRDefault="005C3645" w:rsidP="005C3645">
            <w:pPr>
              <w:spacing w:after="0" w:line="240" w:lineRule="auto"/>
              <w:jc w:val="center"/>
              <w:rPr>
                <w:rFonts w:ascii="Calibri" w:eastAsia="Times New Roman" w:hAnsi="Calibri" w:cs="Times New Roman"/>
                <w:b/>
                <w:bCs/>
                <w:color w:val="000000"/>
                <w:sz w:val="26"/>
                <w:szCs w:val="26"/>
                <w:lang w:eastAsia="sk-SK"/>
              </w:rPr>
            </w:pPr>
            <w:r>
              <w:rPr>
                <w:rFonts w:ascii="Calibri" w:eastAsia="Times New Roman" w:hAnsi="Calibri" w:cs="Times New Roman"/>
                <w:b/>
                <w:bCs/>
                <w:color w:val="000000"/>
                <w:sz w:val="26"/>
                <w:szCs w:val="26"/>
                <w:lang w:eastAsia="sk-SK"/>
              </w:rPr>
              <w:t>Indexuje</w:t>
            </w:r>
            <w:r w:rsidR="00513EF1" w:rsidRPr="00513EF1">
              <w:rPr>
                <w:rFonts w:ascii="Calibri" w:eastAsia="Times New Roman" w:hAnsi="Calibri" w:cs="Times New Roman"/>
                <w:b/>
                <w:bCs/>
                <w:color w:val="000000"/>
                <w:sz w:val="26"/>
                <w:szCs w:val="26"/>
                <w:lang w:eastAsia="sk-SK"/>
              </w:rPr>
              <w:t xml:space="preserve"> sa podľa MP 27/2022 s výnimkou </w:t>
            </w:r>
            <w:proofErr w:type="spellStart"/>
            <w:r w:rsidR="00513EF1" w:rsidRPr="00513EF1">
              <w:rPr>
                <w:rFonts w:ascii="Calibri" w:eastAsia="Times New Roman" w:hAnsi="Calibri" w:cs="Times New Roman"/>
                <w:b/>
                <w:bCs/>
                <w:color w:val="000000"/>
                <w:sz w:val="26"/>
                <w:szCs w:val="26"/>
                <w:lang w:eastAsia="sk-SK"/>
              </w:rPr>
              <w:t>ZoD</w:t>
            </w:r>
            <w:proofErr w:type="spellEnd"/>
            <w:r w:rsidR="00513EF1" w:rsidRPr="00513EF1">
              <w:rPr>
                <w:rFonts w:ascii="Calibri" w:eastAsia="Times New Roman" w:hAnsi="Calibri" w:cs="Times New Roman"/>
                <w:b/>
                <w:bCs/>
                <w:color w:val="000000"/>
                <w:sz w:val="26"/>
                <w:szCs w:val="26"/>
                <w:lang w:eastAsia="sk-SK"/>
              </w:rPr>
              <w:t>, ktorých VO bolo vyhlásené po 08.06.2022</w:t>
            </w:r>
          </w:p>
        </w:tc>
        <w:tc>
          <w:tcPr>
            <w:tcW w:w="95" w:type="pct"/>
            <w:tcBorders>
              <w:top w:val="nil"/>
              <w:left w:val="nil"/>
              <w:bottom w:val="nil"/>
              <w:right w:val="nil"/>
            </w:tcBorders>
            <w:shd w:val="clear" w:color="auto" w:fill="auto"/>
            <w:noWrap/>
            <w:vAlign w:val="bottom"/>
            <w:hideMark/>
          </w:tcPr>
          <w:p w14:paraId="55DEE01F"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r w:rsidRPr="00513EF1">
              <w:rPr>
                <w:rFonts w:ascii="Calibri" w:eastAsia="Times New Roman" w:hAnsi="Calibri" w:cs="Times New Roman"/>
                <w:color w:val="000000"/>
                <w:sz w:val="26"/>
                <w:szCs w:val="26"/>
                <w:lang w:eastAsia="sk-SK"/>
              </w:rPr>
              <w:t> </w:t>
            </w:r>
          </w:p>
        </w:tc>
        <w:tc>
          <w:tcPr>
            <w:tcW w:w="201" w:type="pct"/>
            <w:tcBorders>
              <w:top w:val="nil"/>
              <w:left w:val="nil"/>
              <w:bottom w:val="nil"/>
              <w:right w:val="nil"/>
            </w:tcBorders>
            <w:shd w:val="clear" w:color="auto" w:fill="auto"/>
            <w:noWrap/>
            <w:vAlign w:val="center"/>
            <w:hideMark/>
          </w:tcPr>
          <w:p w14:paraId="6248FB59"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p>
        </w:tc>
        <w:tc>
          <w:tcPr>
            <w:tcW w:w="95" w:type="pct"/>
            <w:tcBorders>
              <w:top w:val="nil"/>
              <w:left w:val="nil"/>
              <w:bottom w:val="nil"/>
              <w:right w:val="nil"/>
            </w:tcBorders>
            <w:shd w:val="clear" w:color="auto" w:fill="auto"/>
            <w:noWrap/>
            <w:vAlign w:val="center"/>
            <w:hideMark/>
          </w:tcPr>
          <w:p w14:paraId="24DF695D" w14:textId="77777777" w:rsidR="00513EF1" w:rsidRPr="00513EF1" w:rsidRDefault="00513EF1" w:rsidP="00513EF1">
            <w:pPr>
              <w:spacing w:after="0" w:line="240" w:lineRule="auto"/>
              <w:jc w:val="center"/>
              <w:rPr>
                <w:rFonts w:ascii="Times New Roman" w:eastAsia="Times New Roman" w:hAnsi="Times New Roman" w:cs="Times New Roman"/>
                <w:sz w:val="20"/>
                <w:szCs w:val="20"/>
                <w:lang w:eastAsia="sk-SK"/>
              </w:rPr>
            </w:pPr>
          </w:p>
        </w:tc>
        <w:tc>
          <w:tcPr>
            <w:tcW w:w="815" w:type="pct"/>
            <w:tcBorders>
              <w:top w:val="nil"/>
              <w:left w:val="nil"/>
              <w:bottom w:val="nil"/>
              <w:right w:val="nil"/>
            </w:tcBorders>
            <w:shd w:val="clear" w:color="auto" w:fill="auto"/>
            <w:noWrap/>
            <w:vAlign w:val="bottom"/>
            <w:hideMark/>
          </w:tcPr>
          <w:p w14:paraId="29D9DB12" w14:textId="77777777" w:rsidR="00513EF1" w:rsidRPr="00513EF1" w:rsidRDefault="00513EF1" w:rsidP="00513EF1">
            <w:pPr>
              <w:spacing w:after="0" w:line="240" w:lineRule="auto"/>
              <w:jc w:val="center"/>
              <w:rPr>
                <w:rFonts w:ascii="Times New Roman" w:eastAsia="Times New Roman" w:hAnsi="Times New Roman" w:cs="Times New Roman"/>
                <w:sz w:val="20"/>
                <w:szCs w:val="20"/>
                <w:lang w:eastAsia="sk-SK"/>
              </w:rPr>
            </w:pPr>
          </w:p>
        </w:tc>
        <w:tc>
          <w:tcPr>
            <w:tcW w:w="815" w:type="pct"/>
            <w:tcBorders>
              <w:top w:val="nil"/>
              <w:left w:val="nil"/>
              <w:bottom w:val="nil"/>
              <w:right w:val="nil"/>
            </w:tcBorders>
            <w:shd w:val="clear" w:color="auto" w:fill="auto"/>
            <w:noWrap/>
            <w:vAlign w:val="bottom"/>
            <w:hideMark/>
          </w:tcPr>
          <w:p w14:paraId="25B6038E"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52B31309"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201" w:type="pct"/>
            <w:tcBorders>
              <w:top w:val="nil"/>
              <w:left w:val="nil"/>
              <w:bottom w:val="nil"/>
              <w:right w:val="nil"/>
            </w:tcBorders>
            <w:shd w:val="clear" w:color="auto" w:fill="auto"/>
            <w:noWrap/>
            <w:vAlign w:val="bottom"/>
            <w:hideMark/>
          </w:tcPr>
          <w:p w14:paraId="3AEE1FCE"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5C46EC03"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27D9288D"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50F56D8E"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r>
      <w:tr w:rsidR="00513EF1" w:rsidRPr="00513EF1" w14:paraId="668C06B5" w14:textId="77777777" w:rsidTr="00EC3A57">
        <w:trPr>
          <w:trHeight w:val="660"/>
        </w:trPr>
        <w:tc>
          <w:tcPr>
            <w:tcW w:w="1702" w:type="pct"/>
            <w:gridSpan w:val="2"/>
            <w:vMerge/>
            <w:tcBorders>
              <w:top w:val="single" w:sz="4" w:space="0" w:color="auto"/>
              <w:left w:val="single" w:sz="4" w:space="0" w:color="auto"/>
              <w:bottom w:val="single" w:sz="4" w:space="0" w:color="000000"/>
              <w:right w:val="single" w:sz="4" w:space="0" w:color="000000"/>
            </w:tcBorders>
            <w:vAlign w:val="center"/>
            <w:hideMark/>
          </w:tcPr>
          <w:p w14:paraId="205A8DD1" w14:textId="77777777" w:rsidR="00513EF1" w:rsidRPr="00513EF1" w:rsidRDefault="00513EF1" w:rsidP="00513EF1">
            <w:pPr>
              <w:spacing w:after="0" w:line="240" w:lineRule="auto"/>
              <w:rPr>
                <w:rFonts w:ascii="Calibri" w:eastAsia="Times New Roman" w:hAnsi="Calibri" w:cs="Times New Roman"/>
                <w:b/>
                <w:bCs/>
                <w:color w:val="000000"/>
                <w:sz w:val="26"/>
                <w:szCs w:val="26"/>
                <w:lang w:eastAsia="sk-SK"/>
              </w:rPr>
            </w:pPr>
          </w:p>
        </w:tc>
        <w:tc>
          <w:tcPr>
            <w:tcW w:w="95" w:type="pct"/>
            <w:tcBorders>
              <w:top w:val="nil"/>
              <w:left w:val="nil"/>
              <w:bottom w:val="nil"/>
              <w:right w:val="nil"/>
            </w:tcBorders>
            <w:shd w:val="clear" w:color="auto" w:fill="auto"/>
            <w:noWrap/>
            <w:vAlign w:val="bottom"/>
            <w:hideMark/>
          </w:tcPr>
          <w:p w14:paraId="4CFF60DE"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201" w:type="pct"/>
            <w:tcBorders>
              <w:top w:val="nil"/>
              <w:left w:val="nil"/>
              <w:bottom w:val="nil"/>
              <w:right w:val="nil"/>
            </w:tcBorders>
            <w:shd w:val="clear" w:color="auto" w:fill="auto"/>
            <w:noWrap/>
            <w:vAlign w:val="bottom"/>
            <w:hideMark/>
          </w:tcPr>
          <w:p w14:paraId="7C340B99"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73ADDC72"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815" w:type="pct"/>
            <w:tcBorders>
              <w:top w:val="nil"/>
              <w:left w:val="nil"/>
              <w:bottom w:val="nil"/>
              <w:right w:val="nil"/>
            </w:tcBorders>
            <w:shd w:val="clear" w:color="auto" w:fill="auto"/>
            <w:noWrap/>
            <w:vAlign w:val="bottom"/>
            <w:hideMark/>
          </w:tcPr>
          <w:p w14:paraId="6FEF08F5"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815" w:type="pct"/>
            <w:tcBorders>
              <w:top w:val="nil"/>
              <w:left w:val="nil"/>
              <w:bottom w:val="nil"/>
              <w:right w:val="nil"/>
            </w:tcBorders>
            <w:shd w:val="clear" w:color="auto" w:fill="auto"/>
            <w:noWrap/>
            <w:vAlign w:val="bottom"/>
            <w:hideMark/>
          </w:tcPr>
          <w:p w14:paraId="40378F79"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2E87E129"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201" w:type="pct"/>
            <w:tcBorders>
              <w:top w:val="nil"/>
              <w:left w:val="nil"/>
              <w:bottom w:val="nil"/>
              <w:right w:val="nil"/>
            </w:tcBorders>
            <w:shd w:val="clear" w:color="auto" w:fill="auto"/>
            <w:noWrap/>
            <w:vAlign w:val="bottom"/>
            <w:hideMark/>
          </w:tcPr>
          <w:p w14:paraId="2DD5B152"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7A005EF1"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7B4740AE"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77893A3C"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r>
      <w:tr w:rsidR="00513EF1" w:rsidRPr="00513EF1" w14:paraId="15539E6F" w14:textId="77777777" w:rsidTr="00EC3A57">
        <w:trPr>
          <w:trHeight w:val="345"/>
        </w:trPr>
        <w:tc>
          <w:tcPr>
            <w:tcW w:w="1702" w:type="pct"/>
            <w:gridSpan w:val="2"/>
            <w:tcBorders>
              <w:top w:val="nil"/>
              <w:left w:val="nil"/>
              <w:bottom w:val="nil"/>
              <w:right w:val="nil"/>
            </w:tcBorders>
            <w:shd w:val="clear" w:color="auto" w:fill="auto"/>
            <w:noWrap/>
            <w:vAlign w:val="bottom"/>
            <w:hideMark/>
          </w:tcPr>
          <w:p w14:paraId="24EA31C9" w14:textId="77777777" w:rsidR="00513EF1" w:rsidRPr="00513EF1" w:rsidRDefault="00513EF1" w:rsidP="00513EF1">
            <w:pPr>
              <w:spacing w:after="0" w:line="240" w:lineRule="auto"/>
              <w:rPr>
                <w:rFonts w:ascii="Calibri" w:eastAsia="Times New Roman" w:hAnsi="Calibri" w:cs="Times New Roman"/>
                <w:color w:val="00B050"/>
                <w:sz w:val="26"/>
                <w:szCs w:val="26"/>
                <w:lang w:eastAsia="sk-SK"/>
              </w:rPr>
            </w:pPr>
            <w:r w:rsidRPr="00513EF1">
              <w:rPr>
                <w:rFonts w:ascii="Calibri" w:eastAsia="Times New Roman" w:hAnsi="Calibri" w:cs="Times New Roman"/>
                <w:color w:val="00B050"/>
                <w:sz w:val="26"/>
                <w:szCs w:val="26"/>
                <w:lang w:eastAsia="sk-SK"/>
              </w:rPr>
              <w:t>§  18, odsek 1 písm. c) alebo odsek 3 písm. a) ZVO</w:t>
            </w:r>
          </w:p>
        </w:tc>
        <w:tc>
          <w:tcPr>
            <w:tcW w:w="95" w:type="pct"/>
            <w:tcBorders>
              <w:top w:val="nil"/>
              <w:left w:val="nil"/>
              <w:bottom w:val="nil"/>
              <w:right w:val="nil"/>
            </w:tcBorders>
            <w:shd w:val="clear" w:color="auto" w:fill="auto"/>
            <w:noWrap/>
            <w:vAlign w:val="bottom"/>
            <w:hideMark/>
          </w:tcPr>
          <w:p w14:paraId="4784B24D" w14:textId="77777777" w:rsidR="00513EF1" w:rsidRPr="00513EF1" w:rsidRDefault="00513EF1" w:rsidP="00513EF1">
            <w:pPr>
              <w:spacing w:after="0" w:line="240" w:lineRule="auto"/>
              <w:rPr>
                <w:rFonts w:ascii="Calibri" w:eastAsia="Times New Roman" w:hAnsi="Calibri" w:cs="Times New Roman"/>
                <w:color w:val="00B050"/>
                <w:sz w:val="26"/>
                <w:szCs w:val="26"/>
                <w:lang w:eastAsia="sk-SK"/>
              </w:rPr>
            </w:pPr>
          </w:p>
        </w:tc>
        <w:tc>
          <w:tcPr>
            <w:tcW w:w="201" w:type="pct"/>
            <w:tcBorders>
              <w:top w:val="nil"/>
              <w:left w:val="nil"/>
              <w:bottom w:val="nil"/>
              <w:right w:val="nil"/>
            </w:tcBorders>
            <w:shd w:val="clear" w:color="auto" w:fill="auto"/>
            <w:noWrap/>
            <w:vAlign w:val="bottom"/>
            <w:hideMark/>
          </w:tcPr>
          <w:p w14:paraId="48B91C59"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00815D26"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815" w:type="pct"/>
            <w:tcBorders>
              <w:top w:val="nil"/>
              <w:left w:val="nil"/>
              <w:bottom w:val="nil"/>
              <w:right w:val="nil"/>
            </w:tcBorders>
            <w:shd w:val="clear" w:color="auto" w:fill="auto"/>
            <w:noWrap/>
            <w:vAlign w:val="bottom"/>
            <w:hideMark/>
          </w:tcPr>
          <w:p w14:paraId="7DDF33F9"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815" w:type="pct"/>
            <w:tcBorders>
              <w:top w:val="nil"/>
              <w:left w:val="nil"/>
              <w:bottom w:val="nil"/>
              <w:right w:val="nil"/>
            </w:tcBorders>
            <w:shd w:val="clear" w:color="auto" w:fill="auto"/>
            <w:noWrap/>
            <w:vAlign w:val="bottom"/>
            <w:hideMark/>
          </w:tcPr>
          <w:p w14:paraId="76D9C7FF"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1BDA86A3"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201" w:type="pct"/>
            <w:tcBorders>
              <w:top w:val="nil"/>
              <w:left w:val="nil"/>
              <w:bottom w:val="nil"/>
              <w:right w:val="nil"/>
            </w:tcBorders>
            <w:shd w:val="clear" w:color="auto" w:fill="auto"/>
            <w:noWrap/>
            <w:vAlign w:val="bottom"/>
            <w:hideMark/>
          </w:tcPr>
          <w:p w14:paraId="296BDE94"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2A46928F"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707133AA"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41D7F80B"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r>
    </w:tbl>
    <w:p w14:paraId="43F1B309" w14:textId="77777777" w:rsidR="00513EF1" w:rsidRPr="00513EF1" w:rsidRDefault="00513EF1" w:rsidP="00513EF1">
      <w:pPr>
        <w:spacing w:after="0" w:line="240" w:lineRule="auto"/>
        <w:jc w:val="both"/>
        <w:rPr>
          <w:rFonts w:ascii="Times New Roman" w:eastAsia="Times New Roman" w:hAnsi="Times New Roman" w:cs="Times New Roman"/>
          <w:color w:val="00B050"/>
          <w:sz w:val="26"/>
          <w:szCs w:val="26"/>
          <w:lang w:eastAsia="sk-SK"/>
        </w:rPr>
      </w:pPr>
    </w:p>
    <w:p w14:paraId="2A6E2847" w14:textId="77777777" w:rsidR="00F843FB" w:rsidRPr="00D876A1" w:rsidRDefault="00F843FB">
      <w:pPr>
        <w:jc w:val="center"/>
        <w:rPr>
          <w:b/>
        </w:rPr>
      </w:pPr>
    </w:p>
    <w:sectPr w:rsidR="00F843FB" w:rsidRPr="00D876A1">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0262C0" w14:textId="77777777" w:rsidR="007A5EE1" w:rsidRDefault="007A5EE1" w:rsidP="007A5EE1">
      <w:pPr>
        <w:spacing w:after="0" w:line="240" w:lineRule="auto"/>
      </w:pPr>
      <w:r>
        <w:separator/>
      </w:r>
    </w:p>
  </w:endnote>
  <w:endnote w:type="continuationSeparator" w:id="0">
    <w:p w14:paraId="0F4E2290" w14:textId="77777777" w:rsidR="007A5EE1" w:rsidRDefault="007A5EE1" w:rsidP="007A5E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altName w:val="Century Gothic"/>
    <w:panose1 w:val="020B0606020202030204"/>
    <w:charset w:val="EE"/>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C00256" w14:textId="77777777" w:rsidR="007A5EE1" w:rsidRDefault="007A5EE1" w:rsidP="007A5EE1">
      <w:pPr>
        <w:spacing w:after="0" w:line="240" w:lineRule="auto"/>
      </w:pPr>
      <w:r>
        <w:separator/>
      </w:r>
    </w:p>
  </w:footnote>
  <w:footnote w:type="continuationSeparator" w:id="0">
    <w:p w14:paraId="3876D504" w14:textId="77777777" w:rsidR="007A5EE1" w:rsidRDefault="007A5EE1" w:rsidP="007A5EE1">
      <w:pPr>
        <w:spacing w:after="0" w:line="240" w:lineRule="auto"/>
      </w:pPr>
      <w:r>
        <w:continuationSeparator/>
      </w:r>
    </w:p>
  </w:footnote>
  <w:footnote w:id="1">
    <w:p w14:paraId="54FC2748" w14:textId="77777777" w:rsidR="00F12D78" w:rsidRPr="00F12D78" w:rsidRDefault="00F12D78" w:rsidP="00F12D78">
      <w:pPr>
        <w:pStyle w:val="Textpoznmkypodiarou"/>
        <w:jc w:val="both"/>
        <w:rPr>
          <w:sz w:val="16"/>
        </w:rPr>
      </w:pPr>
      <w:r>
        <w:rPr>
          <w:rStyle w:val="Odkaznapoznmkupodiarou"/>
        </w:rPr>
        <w:footnoteRef/>
      </w:r>
      <w:r>
        <w:t xml:space="preserve"> </w:t>
      </w:r>
      <w:proofErr w:type="spellStart"/>
      <w:r w:rsidRPr="00F12D78">
        <w:rPr>
          <w:sz w:val="16"/>
        </w:rPr>
        <w:t>T.j</w:t>
      </w:r>
      <w:proofErr w:type="spellEnd"/>
      <w:r w:rsidRPr="00F12D78">
        <w:rPr>
          <w:sz w:val="16"/>
        </w:rPr>
        <w:t xml:space="preserve">. </w:t>
      </w:r>
      <w:r>
        <w:rPr>
          <w:sz w:val="16"/>
        </w:rPr>
        <w:t xml:space="preserve">tie </w:t>
      </w:r>
      <w:proofErr w:type="spellStart"/>
      <w:r>
        <w:rPr>
          <w:sz w:val="16"/>
        </w:rPr>
        <w:t>ZoD</w:t>
      </w:r>
      <w:proofErr w:type="spellEnd"/>
      <w:r>
        <w:rPr>
          <w:sz w:val="16"/>
        </w:rPr>
        <w:t>, ktoré nespadajú pod bod A) a teda dátum vyhlásenia VO v úradnom vestníku VO SR bol pred termínom 8. júna 2022, kedy došlo k vydaniu MP MDV SR č. 19</w:t>
      </w:r>
    </w:p>
  </w:footnote>
  <w:footnote w:id="2">
    <w:p w14:paraId="2CFD5E4A" w14:textId="77777777" w:rsidR="00893642" w:rsidRPr="00542FA0" w:rsidRDefault="00893642" w:rsidP="00893642">
      <w:pPr>
        <w:jc w:val="both"/>
        <w:rPr>
          <w:sz w:val="16"/>
          <w:szCs w:val="20"/>
        </w:rPr>
      </w:pPr>
      <w:r>
        <w:rPr>
          <w:rStyle w:val="Odkaznapoznmkupodiarou"/>
        </w:rPr>
        <w:footnoteRef/>
      </w:r>
      <w:r>
        <w:t xml:space="preserve"> </w:t>
      </w:r>
      <w:r w:rsidRPr="00542FA0">
        <w:rPr>
          <w:sz w:val="16"/>
          <w:szCs w:val="20"/>
        </w:rPr>
        <w:t xml:space="preserve">Ak sa zhotoviteľ domnieva, že má Nárok/Nároky na akékoľvek navýšenie hodnoty plnenia Zmluvy (resp. dodatočnú platbu podľa Zmluvy), tak zhotoviteľ je povinný vzniesť tento nárok Stavebnému dozoru formou Oznámenia v zmysle </w:t>
      </w:r>
      <w:proofErr w:type="spellStart"/>
      <w:r w:rsidRPr="00542FA0">
        <w:rPr>
          <w:sz w:val="16"/>
          <w:szCs w:val="20"/>
        </w:rPr>
        <w:t>podčlánku</w:t>
      </w:r>
      <w:proofErr w:type="spellEnd"/>
      <w:r w:rsidRPr="00542FA0">
        <w:rPr>
          <w:sz w:val="16"/>
          <w:szCs w:val="20"/>
        </w:rPr>
        <w:t xml:space="preserve"> 20.1 FIDIC </w:t>
      </w:r>
      <w:proofErr w:type="spellStart"/>
      <w:r w:rsidRPr="00542FA0">
        <w:rPr>
          <w:sz w:val="16"/>
          <w:szCs w:val="20"/>
        </w:rPr>
        <w:t>Red</w:t>
      </w:r>
      <w:proofErr w:type="spellEnd"/>
      <w:r w:rsidRPr="00542FA0">
        <w:rPr>
          <w:sz w:val="16"/>
          <w:szCs w:val="20"/>
        </w:rPr>
        <w:t>/</w:t>
      </w:r>
      <w:proofErr w:type="spellStart"/>
      <w:r w:rsidRPr="00542FA0">
        <w:rPr>
          <w:sz w:val="16"/>
          <w:szCs w:val="20"/>
        </w:rPr>
        <w:t>Yellow</w:t>
      </w:r>
      <w:proofErr w:type="spellEnd"/>
      <w:r w:rsidRPr="00542FA0">
        <w:rPr>
          <w:sz w:val="16"/>
          <w:szCs w:val="20"/>
        </w:rPr>
        <w:t xml:space="preserve"> </w:t>
      </w:r>
      <w:proofErr w:type="spellStart"/>
      <w:r w:rsidRPr="00542FA0">
        <w:rPr>
          <w:sz w:val="16"/>
          <w:szCs w:val="20"/>
        </w:rPr>
        <w:t>Book</w:t>
      </w:r>
      <w:proofErr w:type="spellEnd"/>
      <w:r w:rsidRPr="00542FA0">
        <w:rPr>
          <w:sz w:val="16"/>
          <w:szCs w:val="20"/>
        </w:rPr>
        <w:t xml:space="preserve">, v ktorom popíše udalosť alebo okolnosť, ktorá vyvolala tento nárok. Oznámenie sa musí vydať čo najskôr ako je to možné, a nie neskôr ako 28 dní po tom, čo si Zhotoviteľ uvedomil alebo si mal uvedomiť vznik udalosti alebo okolnosti. </w:t>
      </w:r>
    </w:p>
    <w:p w14:paraId="0F170352" w14:textId="77777777" w:rsidR="00893642" w:rsidRDefault="00893642" w:rsidP="00893642">
      <w:pPr>
        <w:pStyle w:val="Textpoznmkypodiarou"/>
      </w:pPr>
    </w:p>
  </w:footnote>
  <w:footnote w:id="3">
    <w:p w14:paraId="00E70A61" w14:textId="77777777" w:rsidR="00F10080" w:rsidRPr="0009734E" w:rsidRDefault="00F10080" w:rsidP="00F10080">
      <w:pPr>
        <w:pStyle w:val="Textpoznmkypodiarou"/>
        <w:rPr>
          <w:sz w:val="18"/>
        </w:rPr>
      </w:pPr>
      <w:r>
        <w:rPr>
          <w:rStyle w:val="Odkaznapoznmkupodiarou"/>
        </w:rPr>
        <w:footnoteRef/>
      </w:r>
      <w:r>
        <w:t xml:space="preserve"> </w:t>
      </w:r>
      <w:hyperlink r:id="rId1" w:history="1">
        <w:r w:rsidRPr="0009734E">
          <w:rPr>
            <w:rStyle w:val="Hypertextovprepojenie"/>
            <w:sz w:val="18"/>
          </w:rPr>
          <w:t>https://www.uvo.gov.sk/metodikavzdelavanie/metodicke-usmernenia-a-vykladove-stanoviska/vseobecne-metodicke-usmernenia-k-zakonu-c-3432015-zz-6f2.html</w:t>
        </w:r>
      </w:hyperlink>
      <w:r w:rsidRPr="0009734E">
        <w:rPr>
          <w:sz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37534" w14:textId="5E4BB67A" w:rsidR="0094567F" w:rsidRDefault="0094567F">
    <w:pPr>
      <w:pStyle w:val="Hlavika"/>
    </w:pPr>
    <w:r w:rsidRPr="00D72D62">
      <w:rPr>
        <w:noProof/>
        <w:lang w:eastAsia="sk-SK"/>
      </w:rPr>
      <w:drawing>
        <wp:inline distT="0" distB="0" distL="0" distR="0" wp14:anchorId="19A45930" wp14:editId="50FE4B5F">
          <wp:extent cx="5753100" cy="412750"/>
          <wp:effectExtent l="0" t="0" r="0" b="635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127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77B7A"/>
    <w:multiLevelType w:val="hybridMultilevel"/>
    <w:tmpl w:val="C81218D4"/>
    <w:lvl w:ilvl="0" w:tplc="3A2E89B6">
      <w:numFmt w:val="bullet"/>
      <w:lvlText w:val="-"/>
      <w:lvlJc w:val="left"/>
      <w:pPr>
        <w:ind w:left="720" w:hanging="360"/>
      </w:pPr>
      <w:rPr>
        <w:rFonts w:ascii="Arial Narrow" w:eastAsia="Calibri" w:hAnsi="Arial Narrow"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0B7A6C5B"/>
    <w:multiLevelType w:val="hybridMultilevel"/>
    <w:tmpl w:val="9F366E94"/>
    <w:lvl w:ilvl="0" w:tplc="68C02D50">
      <w:numFmt w:val="bullet"/>
      <w:lvlText w:val="-"/>
      <w:lvlJc w:val="left"/>
      <w:pPr>
        <w:ind w:left="1440" w:hanging="360"/>
      </w:pPr>
      <w:rPr>
        <w:rFonts w:ascii="Times New Roman" w:eastAsia="Calibri" w:hAnsi="Times New Roman" w:cs="Times New Roman" w:hint="default"/>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Courier New" w:hint="default"/>
      </w:rPr>
    </w:lvl>
    <w:lvl w:ilvl="8" w:tplc="041B0005">
      <w:start w:val="1"/>
      <w:numFmt w:val="bullet"/>
      <w:lvlText w:val=""/>
      <w:lvlJc w:val="left"/>
      <w:pPr>
        <w:ind w:left="7200" w:hanging="360"/>
      </w:pPr>
      <w:rPr>
        <w:rFonts w:ascii="Wingdings" w:hAnsi="Wingdings" w:hint="default"/>
      </w:rPr>
    </w:lvl>
  </w:abstractNum>
  <w:abstractNum w:abstractNumId="2" w15:restartNumberingAfterBreak="0">
    <w:nsid w:val="13222927"/>
    <w:multiLevelType w:val="hybridMultilevel"/>
    <w:tmpl w:val="EF08A34C"/>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3" w15:restartNumberingAfterBreak="0">
    <w:nsid w:val="14DB56F4"/>
    <w:multiLevelType w:val="hybridMultilevel"/>
    <w:tmpl w:val="C5C4ADEE"/>
    <w:lvl w:ilvl="0" w:tplc="C3785D1E">
      <w:start w:val="1"/>
      <w:numFmt w:val="upperLetter"/>
      <w:lvlText w:val="%1)"/>
      <w:lvlJc w:val="left"/>
      <w:pPr>
        <w:ind w:left="9432" w:hanging="360"/>
      </w:pPr>
    </w:lvl>
    <w:lvl w:ilvl="1" w:tplc="041B0019">
      <w:start w:val="1"/>
      <w:numFmt w:val="lowerLetter"/>
      <w:lvlText w:val="%2."/>
      <w:lvlJc w:val="left"/>
      <w:pPr>
        <w:ind w:left="10152" w:hanging="360"/>
      </w:pPr>
    </w:lvl>
    <w:lvl w:ilvl="2" w:tplc="041B001B">
      <w:start w:val="1"/>
      <w:numFmt w:val="lowerRoman"/>
      <w:lvlText w:val="%3."/>
      <w:lvlJc w:val="right"/>
      <w:pPr>
        <w:ind w:left="10872" w:hanging="180"/>
      </w:pPr>
    </w:lvl>
    <w:lvl w:ilvl="3" w:tplc="041B000F">
      <w:start w:val="1"/>
      <w:numFmt w:val="decimal"/>
      <w:lvlText w:val="%4."/>
      <w:lvlJc w:val="left"/>
      <w:pPr>
        <w:ind w:left="11592" w:hanging="360"/>
      </w:pPr>
    </w:lvl>
    <w:lvl w:ilvl="4" w:tplc="041B0019">
      <w:start w:val="1"/>
      <w:numFmt w:val="lowerLetter"/>
      <w:lvlText w:val="%5."/>
      <w:lvlJc w:val="left"/>
      <w:pPr>
        <w:ind w:left="12312" w:hanging="360"/>
      </w:pPr>
    </w:lvl>
    <w:lvl w:ilvl="5" w:tplc="041B001B">
      <w:start w:val="1"/>
      <w:numFmt w:val="lowerRoman"/>
      <w:lvlText w:val="%6."/>
      <w:lvlJc w:val="right"/>
      <w:pPr>
        <w:ind w:left="13032" w:hanging="180"/>
      </w:pPr>
    </w:lvl>
    <w:lvl w:ilvl="6" w:tplc="041B000F">
      <w:start w:val="1"/>
      <w:numFmt w:val="decimal"/>
      <w:lvlText w:val="%7."/>
      <w:lvlJc w:val="left"/>
      <w:pPr>
        <w:ind w:left="13752" w:hanging="360"/>
      </w:pPr>
    </w:lvl>
    <w:lvl w:ilvl="7" w:tplc="041B0019">
      <w:start w:val="1"/>
      <w:numFmt w:val="lowerLetter"/>
      <w:lvlText w:val="%8."/>
      <w:lvlJc w:val="left"/>
      <w:pPr>
        <w:ind w:left="14472" w:hanging="360"/>
      </w:pPr>
    </w:lvl>
    <w:lvl w:ilvl="8" w:tplc="041B001B">
      <w:start w:val="1"/>
      <w:numFmt w:val="lowerRoman"/>
      <w:lvlText w:val="%9."/>
      <w:lvlJc w:val="right"/>
      <w:pPr>
        <w:ind w:left="15192" w:hanging="180"/>
      </w:pPr>
    </w:lvl>
  </w:abstractNum>
  <w:abstractNum w:abstractNumId="4" w15:restartNumberingAfterBreak="0">
    <w:nsid w:val="1639372E"/>
    <w:multiLevelType w:val="hybridMultilevel"/>
    <w:tmpl w:val="470287D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2DA14699"/>
    <w:multiLevelType w:val="hybridMultilevel"/>
    <w:tmpl w:val="BE6CE89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33C018E0"/>
    <w:multiLevelType w:val="hybridMultilevel"/>
    <w:tmpl w:val="105255B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63EC133D"/>
    <w:multiLevelType w:val="hybridMultilevel"/>
    <w:tmpl w:val="0A3E3FD4"/>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68A10F6"/>
    <w:multiLevelType w:val="hybridMultilevel"/>
    <w:tmpl w:val="C81218D4"/>
    <w:lvl w:ilvl="0" w:tplc="3A2E89B6">
      <w:numFmt w:val="bullet"/>
      <w:lvlText w:val="-"/>
      <w:lvlJc w:val="left"/>
      <w:pPr>
        <w:ind w:left="720" w:hanging="360"/>
      </w:pPr>
      <w:rPr>
        <w:rFonts w:ascii="Arial Narrow" w:eastAsia="Calibri" w:hAnsi="Arial Narrow"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6A6E4995"/>
    <w:multiLevelType w:val="hybridMultilevel"/>
    <w:tmpl w:val="4E22C7B6"/>
    <w:lvl w:ilvl="0" w:tplc="041B001B">
      <w:start w:val="1"/>
      <w:numFmt w:val="lowerRoman"/>
      <w:lvlText w:val="%1."/>
      <w:lvlJc w:val="right"/>
      <w:pPr>
        <w:ind w:left="1784" w:hanging="360"/>
      </w:pPr>
    </w:lvl>
    <w:lvl w:ilvl="1" w:tplc="041B0019" w:tentative="1">
      <w:start w:val="1"/>
      <w:numFmt w:val="lowerLetter"/>
      <w:lvlText w:val="%2."/>
      <w:lvlJc w:val="left"/>
      <w:pPr>
        <w:ind w:left="2504" w:hanging="360"/>
      </w:pPr>
    </w:lvl>
    <w:lvl w:ilvl="2" w:tplc="041B001B" w:tentative="1">
      <w:start w:val="1"/>
      <w:numFmt w:val="lowerRoman"/>
      <w:lvlText w:val="%3."/>
      <w:lvlJc w:val="right"/>
      <w:pPr>
        <w:ind w:left="3224" w:hanging="180"/>
      </w:pPr>
    </w:lvl>
    <w:lvl w:ilvl="3" w:tplc="041B000F" w:tentative="1">
      <w:start w:val="1"/>
      <w:numFmt w:val="decimal"/>
      <w:lvlText w:val="%4."/>
      <w:lvlJc w:val="left"/>
      <w:pPr>
        <w:ind w:left="3944" w:hanging="360"/>
      </w:pPr>
    </w:lvl>
    <w:lvl w:ilvl="4" w:tplc="041B0019" w:tentative="1">
      <w:start w:val="1"/>
      <w:numFmt w:val="lowerLetter"/>
      <w:lvlText w:val="%5."/>
      <w:lvlJc w:val="left"/>
      <w:pPr>
        <w:ind w:left="4664" w:hanging="360"/>
      </w:pPr>
    </w:lvl>
    <w:lvl w:ilvl="5" w:tplc="041B001B" w:tentative="1">
      <w:start w:val="1"/>
      <w:numFmt w:val="lowerRoman"/>
      <w:lvlText w:val="%6."/>
      <w:lvlJc w:val="right"/>
      <w:pPr>
        <w:ind w:left="5384" w:hanging="180"/>
      </w:pPr>
    </w:lvl>
    <w:lvl w:ilvl="6" w:tplc="041B000F" w:tentative="1">
      <w:start w:val="1"/>
      <w:numFmt w:val="decimal"/>
      <w:lvlText w:val="%7."/>
      <w:lvlJc w:val="left"/>
      <w:pPr>
        <w:ind w:left="6104" w:hanging="360"/>
      </w:pPr>
    </w:lvl>
    <w:lvl w:ilvl="7" w:tplc="041B0019" w:tentative="1">
      <w:start w:val="1"/>
      <w:numFmt w:val="lowerLetter"/>
      <w:lvlText w:val="%8."/>
      <w:lvlJc w:val="left"/>
      <w:pPr>
        <w:ind w:left="6824" w:hanging="360"/>
      </w:pPr>
    </w:lvl>
    <w:lvl w:ilvl="8" w:tplc="041B001B" w:tentative="1">
      <w:start w:val="1"/>
      <w:numFmt w:val="lowerRoman"/>
      <w:lvlText w:val="%9."/>
      <w:lvlJc w:val="right"/>
      <w:pPr>
        <w:ind w:left="7544" w:hanging="180"/>
      </w:pPr>
    </w:lvl>
  </w:abstractNum>
  <w:abstractNum w:abstractNumId="10" w15:restartNumberingAfterBreak="0">
    <w:nsid w:val="6FE44F08"/>
    <w:multiLevelType w:val="hybridMultilevel"/>
    <w:tmpl w:val="A93A88D6"/>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7701274D"/>
    <w:multiLevelType w:val="hybridMultilevel"/>
    <w:tmpl w:val="4584293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7"/>
  </w:num>
  <w:num w:numId="4">
    <w:abstractNumId w:val="6"/>
  </w:num>
  <w:num w:numId="5">
    <w:abstractNumId w:val="8"/>
  </w:num>
  <w:num w:numId="6">
    <w:abstractNumId w:val="11"/>
  </w:num>
  <w:num w:numId="7">
    <w:abstractNumId w:val="4"/>
  </w:num>
  <w:num w:numId="8">
    <w:abstractNumId w:val="5"/>
  </w:num>
  <w:num w:numId="9">
    <w:abstractNumId w:val="3"/>
  </w:num>
  <w:num w:numId="10">
    <w:abstractNumId w:val="10"/>
  </w:num>
  <w:num w:numId="11">
    <w:abstractNumId w:val="0"/>
  </w:num>
  <w:num w:numId="12">
    <w:abstractNumId w:val="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6A1"/>
    <w:rsid w:val="00085E1B"/>
    <w:rsid w:val="0009734E"/>
    <w:rsid w:val="000C225A"/>
    <w:rsid w:val="000D16B4"/>
    <w:rsid w:val="000E1973"/>
    <w:rsid w:val="00116287"/>
    <w:rsid w:val="0019181B"/>
    <w:rsid w:val="001E6372"/>
    <w:rsid w:val="002A1D22"/>
    <w:rsid w:val="003062B7"/>
    <w:rsid w:val="00324F9F"/>
    <w:rsid w:val="00334051"/>
    <w:rsid w:val="00335E0A"/>
    <w:rsid w:val="00353F43"/>
    <w:rsid w:val="003D5E49"/>
    <w:rsid w:val="0044687D"/>
    <w:rsid w:val="004803CB"/>
    <w:rsid w:val="004A0FA5"/>
    <w:rsid w:val="004B6871"/>
    <w:rsid w:val="004D3407"/>
    <w:rsid w:val="00513EF1"/>
    <w:rsid w:val="005170B9"/>
    <w:rsid w:val="0053513A"/>
    <w:rsid w:val="00540DA5"/>
    <w:rsid w:val="00542FA0"/>
    <w:rsid w:val="005938E0"/>
    <w:rsid w:val="005C3645"/>
    <w:rsid w:val="005C657D"/>
    <w:rsid w:val="00612A91"/>
    <w:rsid w:val="0062216B"/>
    <w:rsid w:val="006C4899"/>
    <w:rsid w:val="006E156C"/>
    <w:rsid w:val="006F5564"/>
    <w:rsid w:val="00744F77"/>
    <w:rsid w:val="0075235D"/>
    <w:rsid w:val="007A5EE1"/>
    <w:rsid w:val="008555F8"/>
    <w:rsid w:val="00893642"/>
    <w:rsid w:val="00920729"/>
    <w:rsid w:val="0094567F"/>
    <w:rsid w:val="00945743"/>
    <w:rsid w:val="009F3153"/>
    <w:rsid w:val="00A7620C"/>
    <w:rsid w:val="00A90CB1"/>
    <w:rsid w:val="00A928CE"/>
    <w:rsid w:val="00AD69C3"/>
    <w:rsid w:val="00AF343E"/>
    <w:rsid w:val="00B01303"/>
    <w:rsid w:val="00C060C5"/>
    <w:rsid w:val="00C2598B"/>
    <w:rsid w:val="00C63BF9"/>
    <w:rsid w:val="00C870FF"/>
    <w:rsid w:val="00C87380"/>
    <w:rsid w:val="00CB55F0"/>
    <w:rsid w:val="00D2685F"/>
    <w:rsid w:val="00D448D1"/>
    <w:rsid w:val="00D876A1"/>
    <w:rsid w:val="00DC6219"/>
    <w:rsid w:val="00DE11EA"/>
    <w:rsid w:val="00DF2CED"/>
    <w:rsid w:val="00E04A0E"/>
    <w:rsid w:val="00EB7836"/>
    <w:rsid w:val="00EC3A57"/>
    <w:rsid w:val="00ED7FE5"/>
    <w:rsid w:val="00EE5ACD"/>
    <w:rsid w:val="00F10080"/>
    <w:rsid w:val="00F12D78"/>
    <w:rsid w:val="00F843F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D0FBB"/>
  <w15:chartTrackingRefBased/>
  <w15:docId w15:val="{500C6FA6-989A-481B-A025-9FE67A975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3062B7"/>
    <w:rPr>
      <w:rFonts w:ascii="Calibri" w:hAnsi="Calibri" w:cs="Calibri"/>
    </w:rPr>
  </w:style>
  <w:style w:type="paragraph" w:styleId="Odsekzoznamu">
    <w:name w:val="List Paragraph"/>
    <w:aliases w:val="body,Odsek zoznamu2"/>
    <w:basedOn w:val="Normlny"/>
    <w:link w:val="OdsekzoznamuChar"/>
    <w:uiPriority w:val="99"/>
    <w:qFormat/>
    <w:rsid w:val="003062B7"/>
    <w:pPr>
      <w:spacing w:after="0" w:line="240" w:lineRule="auto"/>
      <w:ind w:left="720"/>
    </w:pPr>
    <w:rPr>
      <w:rFonts w:ascii="Calibri" w:hAnsi="Calibri" w:cs="Calibri"/>
    </w:rPr>
  </w:style>
  <w:style w:type="paragraph" w:customStyle="1" w:styleId="Default">
    <w:name w:val="Default"/>
    <w:rsid w:val="008555F8"/>
    <w:pPr>
      <w:autoSpaceDE w:val="0"/>
      <w:autoSpaceDN w:val="0"/>
      <w:adjustRightInd w:val="0"/>
      <w:spacing w:after="0" w:line="240" w:lineRule="auto"/>
    </w:pPr>
    <w:rPr>
      <w:rFonts w:ascii="Times New Roman" w:hAnsi="Times New Roman" w:cs="Times New Roman"/>
      <w:color w:val="000000"/>
      <w:sz w:val="24"/>
      <w:szCs w:val="24"/>
    </w:rPr>
  </w:style>
  <w:style w:type="character" w:styleId="Hypertextovprepojenie">
    <w:name w:val="Hyperlink"/>
    <w:basedOn w:val="Predvolenpsmoodseku"/>
    <w:uiPriority w:val="99"/>
    <w:unhideWhenUsed/>
    <w:rsid w:val="00CB55F0"/>
    <w:rPr>
      <w:rFonts w:cs="Times New Roman"/>
      <w:color w:val="0563C1" w:themeColor="hyperlink"/>
      <w:u w:val="single"/>
    </w:rPr>
  </w:style>
  <w:style w:type="paragraph" w:styleId="Textpoznmkypodiarou">
    <w:name w:val="footnote text"/>
    <w:aliases w:val="Text poznámky pod èiarou 007,Text poznámky pod čiarou 007,_Poznámka pod čiarou,Text poznámky pod eiarou 007,Stinking Styles2,Tekst przypisu- dokt,Char Char Char,Char Char Char Char Char Char Char Char Char,Char Char Ch,o,Car"/>
    <w:basedOn w:val="Normlny"/>
    <w:link w:val="TextpoznmkypodiarouChar"/>
    <w:uiPriority w:val="99"/>
    <w:unhideWhenUsed/>
    <w:qFormat/>
    <w:rsid w:val="007A5EE1"/>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Text poznámky pod eiarou 007 Char,Stinking Styles2 Char,Tekst przypisu- dokt Char,Char Char Char Char,Char Char Ch Char,o Char"/>
    <w:basedOn w:val="Predvolenpsmoodseku"/>
    <w:link w:val="Textpoznmkypodiarou"/>
    <w:uiPriority w:val="99"/>
    <w:qFormat/>
    <w:rsid w:val="007A5EE1"/>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7A5EE1"/>
    <w:rPr>
      <w:vertAlign w:val="superscript"/>
    </w:rPr>
  </w:style>
  <w:style w:type="paragraph" w:customStyle="1" w:styleId="Char2">
    <w:name w:val="Char2"/>
    <w:basedOn w:val="Normlny"/>
    <w:link w:val="Odkaznapoznmkupodiarou"/>
    <w:uiPriority w:val="99"/>
    <w:rsid w:val="00F10080"/>
    <w:pPr>
      <w:spacing w:line="240" w:lineRule="exact"/>
    </w:pPr>
    <w:rPr>
      <w:vertAlign w:val="superscript"/>
    </w:rPr>
  </w:style>
  <w:style w:type="character" w:styleId="PouitHypertextovPrepojenie">
    <w:name w:val="FollowedHyperlink"/>
    <w:basedOn w:val="Predvolenpsmoodseku"/>
    <w:uiPriority w:val="99"/>
    <w:semiHidden/>
    <w:unhideWhenUsed/>
    <w:rsid w:val="00C87380"/>
    <w:rPr>
      <w:color w:val="954F72" w:themeColor="followedHyperlink"/>
      <w:u w:val="single"/>
    </w:rPr>
  </w:style>
  <w:style w:type="character" w:styleId="Odkaznakomentr">
    <w:name w:val="annotation reference"/>
    <w:basedOn w:val="Predvolenpsmoodseku"/>
    <w:uiPriority w:val="99"/>
    <w:semiHidden/>
    <w:unhideWhenUsed/>
    <w:rsid w:val="00EC3A57"/>
    <w:rPr>
      <w:sz w:val="16"/>
      <w:szCs w:val="16"/>
    </w:rPr>
  </w:style>
  <w:style w:type="paragraph" w:styleId="Textkomentra">
    <w:name w:val="annotation text"/>
    <w:basedOn w:val="Normlny"/>
    <w:link w:val="TextkomentraChar"/>
    <w:uiPriority w:val="99"/>
    <w:semiHidden/>
    <w:unhideWhenUsed/>
    <w:rsid w:val="00EC3A57"/>
    <w:pPr>
      <w:spacing w:line="240" w:lineRule="auto"/>
    </w:pPr>
    <w:rPr>
      <w:sz w:val="20"/>
      <w:szCs w:val="20"/>
    </w:rPr>
  </w:style>
  <w:style w:type="character" w:customStyle="1" w:styleId="TextkomentraChar">
    <w:name w:val="Text komentára Char"/>
    <w:basedOn w:val="Predvolenpsmoodseku"/>
    <w:link w:val="Textkomentra"/>
    <w:uiPriority w:val="99"/>
    <w:semiHidden/>
    <w:rsid w:val="00EC3A57"/>
    <w:rPr>
      <w:sz w:val="20"/>
      <w:szCs w:val="20"/>
    </w:rPr>
  </w:style>
  <w:style w:type="paragraph" w:styleId="Predmetkomentra">
    <w:name w:val="annotation subject"/>
    <w:basedOn w:val="Textkomentra"/>
    <w:next w:val="Textkomentra"/>
    <w:link w:val="PredmetkomentraChar"/>
    <w:uiPriority w:val="99"/>
    <w:semiHidden/>
    <w:unhideWhenUsed/>
    <w:rsid w:val="00EC3A57"/>
    <w:rPr>
      <w:b/>
      <w:bCs/>
    </w:rPr>
  </w:style>
  <w:style w:type="character" w:customStyle="1" w:styleId="PredmetkomentraChar">
    <w:name w:val="Predmet komentára Char"/>
    <w:basedOn w:val="TextkomentraChar"/>
    <w:link w:val="Predmetkomentra"/>
    <w:uiPriority w:val="99"/>
    <w:semiHidden/>
    <w:rsid w:val="00EC3A57"/>
    <w:rPr>
      <w:b/>
      <w:bCs/>
      <w:sz w:val="20"/>
      <w:szCs w:val="20"/>
    </w:rPr>
  </w:style>
  <w:style w:type="paragraph" w:styleId="Textbubliny">
    <w:name w:val="Balloon Text"/>
    <w:basedOn w:val="Normlny"/>
    <w:link w:val="TextbublinyChar"/>
    <w:uiPriority w:val="99"/>
    <w:semiHidden/>
    <w:unhideWhenUsed/>
    <w:rsid w:val="00EC3A5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C3A57"/>
    <w:rPr>
      <w:rFonts w:ascii="Segoe UI" w:hAnsi="Segoe UI" w:cs="Segoe UI"/>
      <w:sz w:val="18"/>
      <w:szCs w:val="18"/>
    </w:rPr>
  </w:style>
  <w:style w:type="paragraph" w:styleId="Hlavika">
    <w:name w:val="header"/>
    <w:basedOn w:val="Normlny"/>
    <w:link w:val="HlavikaChar"/>
    <w:uiPriority w:val="99"/>
    <w:unhideWhenUsed/>
    <w:rsid w:val="0094567F"/>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4567F"/>
  </w:style>
  <w:style w:type="paragraph" w:styleId="Pta">
    <w:name w:val="footer"/>
    <w:basedOn w:val="Normlny"/>
    <w:link w:val="PtaChar"/>
    <w:uiPriority w:val="99"/>
    <w:unhideWhenUsed/>
    <w:rsid w:val="0094567F"/>
    <w:pPr>
      <w:tabs>
        <w:tab w:val="center" w:pos="4536"/>
        <w:tab w:val="right" w:pos="9072"/>
      </w:tabs>
      <w:spacing w:after="0" w:line="240" w:lineRule="auto"/>
    </w:pPr>
  </w:style>
  <w:style w:type="character" w:customStyle="1" w:styleId="PtaChar">
    <w:name w:val="Päta Char"/>
    <w:basedOn w:val="Predvolenpsmoodseku"/>
    <w:link w:val="Pta"/>
    <w:uiPriority w:val="99"/>
    <w:rsid w:val="009456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789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ndop.sk/ministerstvo-1/doprava-3/institut-dopravnej-politiky/indexacne-vzorc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uvo.gov.sk/metodikavzdelavanie/metodicke-usmernenia-a-vykladove-stanoviska/vseobecne-metodicke-usmernenia-k-zakonu-c-3432015-zz-6f2.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6510D2-35AE-4101-910F-78CB94BA6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4</Pages>
  <Words>1812</Words>
  <Characters>10330</Characters>
  <Application>Microsoft Office Word</Application>
  <DocSecurity>0</DocSecurity>
  <Lines>86</Lines>
  <Paragraphs>24</Paragraphs>
  <ScaleCrop>false</ScaleCrop>
  <HeadingPairs>
    <vt:vector size="2" baseType="variant">
      <vt:variant>
        <vt:lpstr>Názov</vt:lpstr>
      </vt:variant>
      <vt:variant>
        <vt:i4>1</vt:i4>
      </vt:variant>
    </vt:vector>
  </HeadingPairs>
  <TitlesOfParts>
    <vt:vector size="1" baseType="lpstr">
      <vt:lpstr/>
    </vt:vector>
  </TitlesOfParts>
  <Company>MDVSR</Company>
  <LinksUpToDate>false</LinksUpToDate>
  <CharactersWithSpaces>12118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SR</dc:creator>
  <cp:keywords/>
  <dc:description/>
  <cp:lastModifiedBy>KH</cp:lastModifiedBy>
  <cp:revision>13</cp:revision>
  <dcterms:created xsi:type="dcterms:W3CDTF">2024-08-02T11:24:00Z</dcterms:created>
  <dcterms:modified xsi:type="dcterms:W3CDTF">2024-08-21T05:47:00Z</dcterms:modified>
</cp:coreProperties>
</file>