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1F236D38"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6EF97A9F"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142EDC">
        <w:rPr>
          <w:rFonts w:ascii="Calibri" w:eastAsia="Calibri" w:hAnsi="Calibri" w:cs="Calibri"/>
          <w:b/>
          <w:sz w:val="20"/>
          <w:szCs w:val="22"/>
        </w:rPr>
        <w:t>5</w:t>
      </w:r>
    </w:p>
    <w:p w14:paraId="3011A6B4" w14:textId="2159436A"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p>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tbl>
      <w:tblPr>
        <w:tblW w:w="8867" w:type="dxa"/>
        <w:jc w:val="center"/>
        <w:tblCellMar>
          <w:left w:w="70" w:type="dxa"/>
          <w:right w:w="70" w:type="dxa"/>
        </w:tblCellMar>
        <w:tblLook w:val="04A0" w:firstRow="1" w:lastRow="0" w:firstColumn="1" w:lastColumn="0" w:noHBand="0" w:noVBand="1"/>
      </w:tblPr>
      <w:tblGrid>
        <w:gridCol w:w="648"/>
        <w:gridCol w:w="2727"/>
        <w:gridCol w:w="2119"/>
        <w:gridCol w:w="1363"/>
        <w:gridCol w:w="2010"/>
      </w:tblGrid>
      <w:tr w:rsidR="00B66B70" w:rsidRPr="00B66B70" w14:paraId="38B26C07" w14:textId="77777777" w:rsidTr="00CA3437">
        <w:trPr>
          <w:trHeight w:val="284"/>
          <w:jc w:val="center"/>
        </w:trPr>
        <w:tc>
          <w:tcPr>
            <w:tcW w:w="648" w:type="dxa"/>
            <w:tcBorders>
              <w:top w:val="single" w:sz="8" w:space="0" w:color="auto"/>
              <w:left w:val="single" w:sz="8" w:space="0" w:color="auto"/>
              <w:bottom w:val="single" w:sz="8" w:space="0" w:color="auto"/>
              <w:right w:val="single" w:sz="8" w:space="0" w:color="auto"/>
            </w:tcBorders>
            <w:noWrap/>
            <w:vAlign w:val="bottom"/>
            <w:hideMark/>
          </w:tcPr>
          <w:p w14:paraId="7F4EBCDD"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727" w:type="dxa"/>
            <w:tcBorders>
              <w:top w:val="single" w:sz="8" w:space="0" w:color="auto"/>
              <w:left w:val="nil"/>
              <w:bottom w:val="single" w:sz="8" w:space="0" w:color="auto"/>
              <w:right w:val="single" w:sz="4" w:space="0" w:color="auto"/>
            </w:tcBorders>
            <w:vAlign w:val="center"/>
            <w:hideMark/>
          </w:tcPr>
          <w:p w14:paraId="0AB06672"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Meno, Priezvisko</w:t>
            </w:r>
          </w:p>
        </w:tc>
        <w:tc>
          <w:tcPr>
            <w:tcW w:w="2119" w:type="dxa"/>
            <w:tcBorders>
              <w:top w:val="single" w:sz="8" w:space="0" w:color="auto"/>
              <w:left w:val="nil"/>
              <w:bottom w:val="single" w:sz="8" w:space="0" w:color="auto"/>
              <w:right w:val="single" w:sz="4" w:space="0" w:color="auto"/>
            </w:tcBorders>
            <w:vAlign w:val="center"/>
            <w:hideMark/>
          </w:tcPr>
          <w:p w14:paraId="2C56D62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 xml:space="preserve">Pozícia </w:t>
            </w:r>
          </w:p>
        </w:tc>
        <w:tc>
          <w:tcPr>
            <w:tcW w:w="1363" w:type="dxa"/>
            <w:tcBorders>
              <w:top w:val="single" w:sz="8" w:space="0" w:color="auto"/>
              <w:left w:val="nil"/>
              <w:bottom w:val="single" w:sz="8" w:space="0" w:color="auto"/>
              <w:right w:val="nil"/>
            </w:tcBorders>
            <w:vAlign w:val="center"/>
            <w:hideMark/>
          </w:tcPr>
          <w:p w14:paraId="1A61FBC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Dátum</w:t>
            </w:r>
          </w:p>
        </w:tc>
        <w:tc>
          <w:tcPr>
            <w:tcW w:w="2010" w:type="dxa"/>
            <w:tcBorders>
              <w:top w:val="single" w:sz="8" w:space="0" w:color="auto"/>
              <w:left w:val="single" w:sz="4" w:space="0" w:color="auto"/>
              <w:bottom w:val="single" w:sz="8" w:space="0" w:color="auto"/>
              <w:right w:val="single" w:sz="8" w:space="0" w:color="auto"/>
            </w:tcBorders>
            <w:vAlign w:val="center"/>
            <w:hideMark/>
          </w:tcPr>
          <w:p w14:paraId="3C0576F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Podpis</w:t>
            </w:r>
          </w:p>
        </w:tc>
      </w:tr>
      <w:tr w:rsidR="00B66B70" w:rsidRPr="00B66B70" w14:paraId="2852A540" w14:textId="77777777" w:rsidTr="00CA3437">
        <w:trPr>
          <w:trHeight w:val="953"/>
          <w:jc w:val="center"/>
        </w:trPr>
        <w:tc>
          <w:tcPr>
            <w:tcW w:w="648" w:type="dxa"/>
            <w:tcBorders>
              <w:top w:val="single" w:sz="8" w:space="0" w:color="auto"/>
              <w:left w:val="single" w:sz="8" w:space="0" w:color="auto"/>
              <w:bottom w:val="single" w:sz="4" w:space="0" w:color="auto"/>
              <w:right w:val="single" w:sz="8" w:space="0" w:color="auto"/>
            </w:tcBorders>
            <w:textDirection w:val="btLr"/>
            <w:vAlign w:val="center"/>
            <w:hideMark/>
          </w:tcPr>
          <w:p w14:paraId="2FE71126"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Vypracoval</w:t>
            </w:r>
          </w:p>
        </w:tc>
        <w:tc>
          <w:tcPr>
            <w:tcW w:w="2727" w:type="dxa"/>
            <w:tcBorders>
              <w:top w:val="single" w:sz="8" w:space="0" w:color="auto"/>
              <w:left w:val="nil"/>
              <w:bottom w:val="single" w:sz="4" w:space="0" w:color="auto"/>
              <w:right w:val="single" w:sz="4" w:space="0" w:color="auto"/>
            </w:tcBorders>
            <w:vAlign w:val="center"/>
          </w:tcPr>
          <w:p w14:paraId="4E89B905"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JUDr. Daniela Zelinová</w:t>
            </w:r>
          </w:p>
        </w:tc>
        <w:tc>
          <w:tcPr>
            <w:tcW w:w="2119" w:type="dxa"/>
            <w:tcBorders>
              <w:top w:val="single" w:sz="8" w:space="0" w:color="auto"/>
              <w:left w:val="nil"/>
              <w:bottom w:val="single" w:sz="4" w:space="0" w:color="auto"/>
              <w:right w:val="single" w:sz="4" w:space="0" w:color="auto"/>
            </w:tcBorders>
            <w:vAlign w:val="center"/>
          </w:tcPr>
          <w:p w14:paraId="148BC2F8" w14:textId="0CE3ECE5" w:rsidR="00B66B70" w:rsidRPr="00B66B70" w:rsidRDefault="000D3D59" w:rsidP="00B66B70">
            <w:pPr>
              <w:widowControl w:val="0"/>
              <w:spacing w:after="160" w:line="259" w:lineRule="auto"/>
              <w:jc w:val="center"/>
              <w:rPr>
                <w:rFonts w:ascii="Calibri" w:eastAsia="Calibri" w:hAnsi="Calibri" w:cs="Calibri"/>
                <w:color w:val="000000"/>
                <w:sz w:val="22"/>
                <w:szCs w:val="20"/>
              </w:rPr>
            </w:pPr>
            <w:r>
              <w:rPr>
                <w:rFonts w:ascii="Calibri" w:eastAsia="Calibri" w:hAnsi="Calibri" w:cs="Calibri"/>
                <w:color w:val="000000"/>
                <w:sz w:val="22"/>
                <w:szCs w:val="20"/>
              </w:rPr>
              <w:t>vedúca OKMP</w:t>
            </w:r>
            <w:r w:rsidR="009964D5" w:rsidRPr="009964D5">
              <w:rPr>
                <w:rFonts w:ascii="Calibri" w:eastAsia="Calibri" w:hAnsi="Calibri" w:cs="Calibri"/>
                <w:color w:val="000000"/>
                <w:sz w:val="22"/>
                <w:szCs w:val="20"/>
              </w:rPr>
              <w:t xml:space="preserve"> </w:t>
            </w:r>
          </w:p>
        </w:tc>
        <w:tc>
          <w:tcPr>
            <w:tcW w:w="1363" w:type="dxa"/>
            <w:tcBorders>
              <w:top w:val="single" w:sz="8" w:space="0" w:color="auto"/>
              <w:left w:val="nil"/>
              <w:bottom w:val="single" w:sz="4" w:space="0" w:color="auto"/>
              <w:right w:val="nil"/>
            </w:tcBorders>
            <w:vAlign w:val="center"/>
            <w:hideMark/>
          </w:tcPr>
          <w:p w14:paraId="50C368E1"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8" w:space="0" w:color="auto"/>
              <w:left w:val="single" w:sz="4" w:space="0" w:color="auto"/>
              <w:bottom w:val="single" w:sz="4" w:space="0" w:color="auto"/>
              <w:right w:val="single" w:sz="8" w:space="0" w:color="auto"/>
            </w:tcBorders>
            <w:noWrap/>
            <w:vAlign w:val="bottom"/>
            <w:hideMark/>
          </w:tcPr>
          <w:p w14:paraId="739B4FD5"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265D798C" w14:textId="77777777" w:rsidTr="00CA3437">
        <w:trPr>
          <w:trHeight w:val="693"/>
          <w:jc w:val="center"/>
        </w:trPr>
        <w:tc>
          <w:tcPr>
            <w:tcW w:w="648" w:type="dxa"/>
            <w:vMerge w:val="restart"/>
            <w:tcBorders>
              <w:top w:val="single" w:sz="4" w:space="0" w:color="auto"/>
              <w:left w:val="single" w:sz="8" w:space="0" w:color="auto"/>
              <w:right w:val="single" w:sz="8" w:space="0" w:color="auto"/>
            </w:tcBorders>
            <w:textDirection w:val="btLr"/>
            <w:vAlign w:val="center"/>
            <w:hideMark/>
          </w:tcPr>
          <w:p w14:paraId="059A604B"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Overil</w:t>
            </w:r>
          </w:p>
        </w:tc>
        <w:tc>
          <w:tcPr>
            <w:tcW w:w="2727" w:type="dxa"/>
            <w:tcBorders>
              <w:top w:val="single" w:sz="4" w:space="0" w:color="auto"/>
              <w:left w:val="nil"/>
              <w:bottom w:val="single" w:sz="4" w:space="0" w:color="auto"/>
              <w:right w:val="single" w:sz="4" w:space="0" w:color="auto"/>
            </w:tcBorders>
            <w:vAlign w:val="center"/>
          </w:tcPr>
          <w:p w14:paraId="0E6CE122" w14:textId="7910F6F2" w:rsidR="00B66B70" w:rsidRPr="00B66B70" w:rsidRDefault="00142EDC" w:rsidP="00142EDC">
            <w:pPr>
              <w:widowControl w:val="0"/>
              <w:spacing w:after="160" w:line="259" w:lineRule="auto"/>
              <w:rPr>
                <w:rFonts w:ascii="Calibri" w:eastAsia="Calibri" w:hAnsi="Calibri" w:cs="Calibri"/>
                <w:color w:val="000000"/>
                <w:sz w:val="22"/>
                <w:szCs w:val="20"/>
              </w:rPr>
            </w:pPr>
            <w:r>
              <w:rPr>
                <w:rFonts w:ascii="Calibri" w:eastAsia="Calibri" w:hAnsi="Calibri" w:cs="Calibri"/>
                <w:color w:val="000000"/>
                <w:sz w:val="22"/>
                <w:szCs w:val="20"/>
              </w:rPr>
              <w:t>JUDr</w:t>
            </w:r>
            <w:r w:rsidR="00B66B70" w:rsidRPr="00B66B70">
              <w:rPr>
                <w:rFonts w:ascii="Calibri" w:eastAsia="Calibri" w:hAnsi="Calibri" w:cs="Calibri"/>
                <w:color w:val="000000"/>
                <w:sz w:val="22"/>
                <w:szCs w:val="20"/>
              </w:rPr>
              <w:t xml:space="preserve">. </w:t>
            </w:r>
            <w:r w:rsidRPr="00B66B70">
              <w:rPr>
                <w:rFonts w:ascii="Calibri" w:eastAsia="Calibri" w:hAnsi="Calibri" w:cs="Calibri"/>
                <w:color w:val="000000"/>
                <w:sz w:val="22"/>
                <w:szCs w:val="20"/>
              </w:rPr>
              <w:t>Daniela Zelinová</w:t>
            </w:r>
            <w:r w:rsidRPr="00B66B70" w:rsidDel="00142EDC">
              <w:rPr>
                <w:rFonts w:ascii="Calibri" w:eastAsia="Calibri" w:hAnsi="Calibri" w:cs="Calibri"/>
                <w:color w:val="000000"/>
                <w:sz w:val="22"/>
                <w:szCs w:val="20"/>
              </w:rPr>
              <w:t xml:space="preserve"> </w:t>
            </w:r>
          </w:p>
        </w:tc>
        <w:tc>
          <w:tcPr>
            <w:tcW w:w="2119" w:type="dxa"/>
            <w:tcBorders>
              <w:top w:val="single" w:sz="4" w:space="0" w:color="auto"/>
              <w:left w:val="nil"/>
              <w:bottom w:val="single" w:sz="4" w:space="0" w:color="auto"/>
              <w:right w:val="single" w:sz="4" w:space="0" w:color="auto"/>
            </w:tcBorders>
            <w:vAlign w:val="center"/>
          </w:tcPr>
          <w:p w14:paraId="02059E90" w14:textId="1ADEA989" w:rsidR="00B66B70" w:rsidRPr="00B66B70" w:rsidRDefault="009964D5" w:rsidP="00B66B70">
            <w:pPr>
              <w:widowControl w:val="0"/>
              <w:spacing w:after="160" w:line="259" w:lineRule="auto"/>
              <w:jc w:val="center"/>
              <w:rPr>
                <w:rFonts w:ascii="Calibri" w:eastAsia="Calibri" w:hAnsi="Calibri" w:cs="Calibri"/>
                <w:color w:val="000000"/>
                <w:sz w:val="22"/>
                <w:szCs w:val="20"/>
              </w:rPr>
            </w:pPr>
            <w:r w:rsidRPr="009964D5">
              <w:rPr>
                <w:rFonts w:ascii="Calibri" w:eastAsia="Calibri" w:hAnsi="Calibri" w:cs="Calibri"/>
                <w:color w:val="000000"/>
                <w:sz w:val="22"/>
                <w:szCs w:val="20"/>
              </w:rPr>
              <w:t>poverená výkonom funkcie RPM OKRP</w:t>
            </w:r>
            <w:r w:rsidRPr="007C2EBA">
              <w:rPr>
                <w:rFonts w:cstheme="minorHAnsi"/>
                <w:color w:val="000000"/>
                <w:szCs w:val="20"/>
              </w:rPr>
              <w:t xml:space="preserve"> </w:t>
            </w:r>
          </w:p>
        </w:tc>
        <w:tc>
          <w:tcPr>
            <w:tcW w:w="1363" w:type="dxa"/>
            <w:tcBorders>
              <w:top w:val="single" w:sz="4" w:space="0" w:color="auto"/>
              <w:left w:val="nil"/>
              <w:bottom w:val="single" w:sz="4" w:space="0" w:color="auto"/>
              <w:right w:val="nil"/>
            </w:tcBorders>
            <w:vAlign w:val="center"/>
            <w:hideMark/>
          </w:tcPr>
          <w:p w14:paraId="2CA0992F"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4" w:space="0" w:color="auto"/>
              <w:left w:val="single" w:sz="4" w:space="0" w:color="auto"/>
              <w:bottom w:val="single" w:sz="4" w:space="0" w:color="auto"/>
              <w:right w:val="single" w:sz="8" w:space="0" w:color="auto"/>
            </w:tcBorders>
            <w:noWrap/>
            <w:vAlign w:val="bottom"/>
            <w:hideMark/>
          </w:tcPr>
          <w:p w14:paraId="282173A0"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645865AE" w14:textId="77777777" w:rsidTr="00CA3437">
        <w:trPr>
          <w:trHeight w:val="845"/>
          <w:jc w:val="center"/>
        </w:trPr>
        <w:tc>
          <w:tcPr>
            <w:tcW w:w="648" w:type="dxa"/>
            <w:vMerge/>
            <w:tcBorders>
              <w:left w:val="single" w:sz="8" w:space="0" w:color="auto"/>
              <w:bottom w:val="single" w:sz="8" w:space="0" w:color="000000"/>
              <w:right w:val="single" w:sz="8" w:space="0" w:color="auto"/>
            </w:tcBorders>
            <w:textDirection w:val="btLr"/>
            <w:vAlign w:val="center"/>
          </w:tcPr>
          <w:p w14:paraId="6B0CC11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p>
        </w:tc>
        <w:tc>
          <w:tcPr>
            <w:tcW w:w="2727" w:type="dxa"/>
            <w:tcBorders>
              <w:top w:val="single" w:sz="4" w:space="0" w:color="auto"/>
              <w:left w:val="nil"/>
              <w:bottom w:val="single" w:sz="4" w:space="0" w:color="auto"/>
              <w:right w:val="single" w:sz="4" w:space="0" w:color="auto"/>
            </w:tcBorders>
            <w:vAlign w:val="center"/>
          </w:tcPr>
          <w:p w14:paraId="63581892" w14:textId="1950B080" w:rsidR="00B66B70" w:rsidRPr="00B66B70" w:rsidRDefault="000D3D59" w:rsidP="00B66B70">
            <w:pPr>
              <w:widowControl w:val="0"/>
              <w:spacing w:after="160" w:line="259" w:lineRule="auto"/>
              <w:rPr>
                <w:rFonts w:ascii="Calibri" w:eastAsia="Calibri" w:hAnsi="Calibri" w:cs="Calibri"/>
                <w:color w:val="000000"/>
                <w:sz w:val="22"/>
                <w:szCs w:val="20"/>
              </w:rPr>
            </w:pPr>
            <w:r>
              <w:rPr>
                <w:rFonts w:ascii="Calibri" w:eastAsia="Calibri" w:hAnsi="Calibri" w:cs="Calibri"/>
                <w:color w:val="000000"/>
                <w:sz w:val="22"/>
                <w:szCs w:val="20"/>
              </w:rPr>
              <w:t>PhDr. Pavol Bžán, MA</w:t>
            </w:r>
          </w:p>
        </w:tc>
        <w:tc>
          <w:tcPr>
            <w:tcW w:w="2119" w:type="dxa"/>
            <w:tcBorders>
              <w:top w:val="single" w:sz="4" w:space="0" w:color="auto"/>
              <w:left w:val="nil"/>
              <w:bottom w:val="single" w:sz="4" w:space="0" w:color="auto"/>
              <w:right w:val="single" w:sz="4" w:space="0" w:color="auto"/>
            </w:tcBorders>
            <w:vAlign w:val="center"/>
          </w:tcPr>
          <w:p w14:paraId="45B38011" w14:textId="22A07484" w:rsidR="00B66B70" w:rsidRPr="00B66B70" w:rsidRDefault="000D3D59" w:rsidP="00B66B70">
            <w:pPr>
              <w:widowControl w:val="0"/>
              <w:spacing w:after="160" w:line="259" w:lineRule="auto"/>
              <w:jc w:val="center"/>
              <w:rPr>
                <w:rFonts w:ascii="Calibri" w:eastAsia="Calibri" w:hAnsi="Calibri" w:cs="Calibri"/>
                <w:color w:val="000000"/>
                <w:sz w:val="22"/>
                <w:szCs w:val="20"/>
              </w:rPr>
            </w:pPr>
            <w:r>
              <w:rPr>
                <w:rFonts w:ascii="Calibri" w:eastAsia="Calibri" w:hAnsi="Calibri" w:cs="Calibri"/>
                <w:color w:val="000000"/>
                <w:sz w:val="22"/>
                <w:szCs w:val="20"/>
              </w:rPr>
              <w:t xml:space="preserve">poverený zastupovaním </w:t>
            </w:r>
            <w:r w:rsidR="00B66B70" w:rsidRPr="00B66B70">
              <w:rPr>
                <w:rFonts w:ascii="Calibri" w:eastAsia="Calibri" w:hAnsi="Calibri" w:cs="Calibri"/>
                <w:color w:val="000000"/>
                <w:sz w:val="22"/>
                <w:szCs w:val="20"/>
              </w:rPr>
              <w:t>GR SRP</w:t>
            </w:r>
          </w:p>
        </w:tc>
        <w:tc>
          <w:tcPr>
            <w:tcW w:w="1363" w:type="dxa"/>
            <w:tcBorders>
              <w:top w:val="single" w:sz="4" w:space="0" w:color="auto"/>
              <w:left w:val="nil"/>
              <w:bottom w:val="single" w:sz="4" w:space="0" w:color="auto"/>
              <w:right w:val="nil"/>
            </w:tcBorders>
            <w:vAlign w:val="center"/>
          </w:tcPr>
          <w:p w14:paraId="1244DCA7"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p>
        </w:tc>
        <w:tc>
          <w:tcPr>
            <w:tcW w:w="2010" w:type="dxa"/>
            <w:tcBorders>
              <w:top w:val="single" w:sz="4" w:space="0" w:color="auto"/>
              <w:left w:val="single" w:sz="4" w:space="0" w:color="auto"/>
              <w:bottom w:val="single" w:sz="4" w:space="0" w:color="auto"/>
              <w:right w:val="single" w:sz="8" w:space="0" w:color="auto"/>
            </w:tcBorders>
            <w:noWrap/>
            <w:vAlign w:val="bottom"/>
          </w:tcPr>
          <w:p w14:paraId="76D1A94A" w14:textId="77777777" w:rsidR="00B66B70" w:rsidRPr="00B66B70" w:rsidRDefault="00B66B70" w:rsidP="00B66B70">
            <w:pPr>
              <w:widowControl w:val="0"/>
              <w:spacing w:after="160" w:line="259" w:lineRule="auto"/>
              <w:rPr>
                <w:rFonts w:ascii="Calibri" w:eastAsia="Calibri" w:hAnsi="Calibri" w:cs="Calibri"/>
                <w:color w:val="000000"/>
                <w:sz w:val="18"/>
                <w:szCs w:val="22"/>
              </w:rPr>
            </w:pPr>
          </w:p>
        </w:tc>
      </w:tr>
    </w:tbl>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1B48848C"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w:t>
      </w:r>
      <w:r w:rsidR="00142EDC">
        <w:rPr>
          <w:rFonts w:ascii="Calibri" w:eastAsia="Calibri" w:hAnsi="Calibri" w:cs="Calibri"/>
          <w:sz w:val="22"/>
          <w:szCs w:val="22"/>
        </w:rPr>
        <w:t xml:space="preserve">JUDr. Ing. Jozef Ráž </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D358E" w:rsidRDefault="00DC0F99" w:rsidP="00B66B70">
      <w:pPr>
        <w:pStyle w:val="Obsah1"/>
        <w:widowControl w:val="0"/>
        <w:spacing w:line="276" w:lineRule="auto"/>
        <w:rPr>
          <w:rFonts w:ascii="Calibri" w:hAnsi="Calibri" w:cs="Calibri"/>
          <w:b/>
          <w:bCs/>
          <w:sz w:val="20"/>
          <w:szCs w:val="20"/>
        </w:rPr>
      </w:pPr>
      <w:r w:rsidRPr="00BD358E">
        <w:rPr>
          <w:rFonts w:ascii="Calibri" w:hAnsi="Calibri" w:cs="Calibri"/>
          <w:b/>
          <w:bCs/>
          <w:sz w:val="20"/>
          <w:szCs w:val="20"/>
        </w:rPr>
        <w:lastRenderedPageBreak/>
        <w:t>OBSAH</w:t>
      </w:r>
    </w:p>
    <w:p w14:paraId="1A9ABA0D" w14:textId="574D30D7" w:rsidR="00B66B70" w:rsidRPr="00BD358E" w:rsidRDefault="00012780">
      <w:pPr>
        <w:pStyle w:val="Obsah1"/>
        <w:rPr>
          <w:rFonts w:ascii="Calibri" w:eastAsiaTheme="minorEastAsia" w:hAnsi="Calibri" w:cs="Calibri"/>
          <w:caps w:val="0"/>
          <w:noProof/>
        </w:rPr>
      </w:pPr>
      <w:r w:rsidRPr="00BD358E">
        <w:rPr>
          <w:rStyle w:val="Hypertextovprepojenie"/>
          <w:rFonts w:ascii="Calibri" w:hAnsi="Calibri" w:cs="Calibri"/>
          <w:caps w:val="0"/>
          <w:noProof/>
          <w:sz w:val="20"/>
          <w:szCs w:val="20"/>
        </w:rPr>
        <w:fldChar w:fldCharType="begin"/>
      </w:r>
      <w:r w:rsidR="00DC0F99" w:rsidRPr="00BD358E">
        <w:rPr>
          <w:rStyle w:val="Hypertextovprepojenie"/>
          <w:rFonts w:ascii="Calibri" w:hAnsi="Calibri" w:cs="Calibri"/>
          <w:caps w:val="0"/>
          <w:noProof/>
          <w:sz w:val="20"/>
          <w:szCs w:val="20"/>
        </w:rPr>
        <w:instrText xml:space="preserve"> TOC \o "1-2" \h \z \u </w:instrText>
      </w:r>
      <w:r w:rsidRPr="00BD358E">
        <w:rPr>
          <w:rStyle w:val="Hypertextovprepojenie"/>
          <w:rFonts w:ascii="Calibri" w:hAnsi="Calibri" w:cs="Calibri"/>
          <w:caps w:val="0"/>
          <w:noProof/>
          <w:sz w:val="20"/>
          <w:szCs w:val="20"/>
        </w:rPr>
        <w:fldChar w:fldCharType="separate"/>
      </w:r>
      <w:hyperlink w:anchor="_Toc99449427" w:history="1">
        <w:r w:rsidR="00B66B70" w:rsidRPr="00BD358E">
          <w:rPr>
            <w:rStyle w:val="Hypertextovprepojenie"/>
            <w:rFonts w:ascii="Calibri" w:hAnsi="Calibri" w:cs="Calibri"/>
            <w:noProof/>
          </w:rPr>
          <w:t>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Úvod</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3CE03653" w14:textId="05792A77" w:rsidR="00B66B70" w:rsidRPr="00BD358E" w:rsidRDefault="00A214F5">
      <w:pPr>
        <w:pStyle w:val="Obsah2"/>
        <w:rPr>
          <w:rFonts w:ascii="Calibri" w:eastAsiaTheme="minorEastAsia" w:hAnsi="Calibri" w:cs="Calibri"/>
          <w:noProof/>
        </w:rPr>
      </w:pPr>
      <w:hyperlink w:anchor="_Toc99449428" w:history="1">
        <w:r w:rsidR="00B66B70" w:rsidRPr="00BD358E">
          <w:rPr>
            <w:rStyle w:val="Hypertextovprepojenie"/>
            <w:rFonts w:ascii="Calibri" w:hAnsi="Calibri" w:cs="Calibri"/>
            <w:iCs/>
            <w:noProof/>
          </w:rPr>
          <w:t>1.1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Cieľ</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0090F170" w14:textId="1528A132" w:rsidR="00B66B70" w:rsidRPr="00BD358E" w:rsidRDefault="00A214F5">
      <w:pPr>
        <w:pStyle w:val="Obsah2"/>
        <w:rPr>
          <w:rFonts w:ascii="Calibri" w:eastAsiaTheme="minorEastAsia" w:hAnsi="Calibri" w:cs="Calibri"/>
          <w:noProof/>
        </w:rPr>
      </w:pPr>
      <w:hyperlink w:anchor="_Toc99449429" w:history="1">
        <w:r w:rsidR="00B66B70" w:rsidRPr="00BD358E">
          <w:rPr>
            <w:rStyle w:val="Hypertextovprepojenie"/>
            <w:rFonts w:ascii="Calibri" w:hAnsi="Calibri" w:cs="Calibri"/>
            <w:iCs/>
            <w:noProof/>
          </w:rPr>
          <w:t>1.2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Platnosť a účinnosť príručky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538AFCA6" w14:textId="2A9BC5BA" w:rsidR="00B66B70" w:rsidRPr="00BD358E" w:rsidRDefault="00A214F5">
      <w:pPr>
        <w:pStyle w:val="Obsah1"/>
        <w:rPr>
          <w:rFonts w:ascii="Calibri" w:eastAsiaTheme="minorEastAsia" w:hAnsi="Calibri" w:cs="Calibri"/>
          <w:caps w:val="0"/>
          <w:noProof/>
        </w:rPr>
      </w:pPr>
      <w:hyperlink w:anchor="_Toc99449430" w:history="1">
        <w:r w:rsidR="00B66B70" w:rsidRPr="00BD358E">
          <w:rPr>
            <w:rStyle w:val="Hypertextovprepojenie"/>
            <w:rFonts w:ascii="Calibri" w:hAnsi="Calibri" w:cs="Calibri"/>
            <w:noProof/>
          </w:rPr>
          <w:t>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Zmluva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160B5788" w14:textId="72536460" w:rsidR="00B66B70" w:rsidRPr="00BD358E" w:rsidRDefault="00A214F5">
      <w:pPr>
        <w:pStyle w:val="Obsah2"/>
        <w:rPr>
          <w:rFonts w:ascii="Calibri" w:eastAsiaTheme="minorEastAsia" w:hAnsi="Calibri" w:cs="Calibri"/>
          <w:noProof/>
        </w:rPr>
      </w:pPr>
      <w:hyperlink w:anchor="_Toc99449432" w:history="1">
        <w:r w:rsidR="00B66B70" w:rsidRPr="00BD358E">
          <w:rPr>
            <w:rStyle w:val="Hypertextovprepojenie"/>
            <w:rFonts w:ascii="Calibri" w:hAnsi="Calibri" w:cs="Calibri"/>
            <w:noProof/>
          </w:rPr>
          <w:t>2.1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Zmluvné zabezpečenie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4C29B893" w14:textId="7566E78F" w:rsidR="00B66B70" w:rsidRPr="00BD358E" w:rsidRDefault="00A214F5">
      <w:pPr>
        <w:pStyle w:val="Obsah2"/>
        <w:rPr>
          <w:rFonts w:ascii="Calibri" w:eastAsiaTheme="minorEastAsia" w:hAnsi="Calibri" w:cs="Calibri"/>
          <w:noProof/>
        </w:rPr>
      </w:pPr>
      <w:hyperlink w:anchor="_Toc99449433" w:history="1">
        <w:r w:rsidR="00B66B70" w:rsidRPr="00BD358E">
          <w:rPr>
            <w:rStyle w:val="Hypertextovprepojenie"/>
            <w:rFonts w:ascii="Calibri" w:hAnsi="Calibri" w:cs="Calibri"/>
            <w:noProof/>
          </w:rPr>
          <w:t>2.2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Zmeny Zmluvy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5</w:t>
        </w:r>
        <w:r w:rsidR="00B66B70" w:rsidRPr="00BD358E">
          <w:rPr>
            <w:rFonts w:ascii="Calibri" w:hAnsi="Calibri" w:cs="Calibri"/>
            <w:noProof/>
            <w:webHidden/>
          </w:rPr>
          <w:fldChar w:fldCharType="end"/>
        </w:r>
      </w:hyperlink>
    </w:p>
    <w:p w14:paraId="779AB3C5" w14:textId="0FE63A06" w:rsidR="00B66B70" w:rsidRPr="00BD358E" w:rsidRDefault="00A214F5">
      <w:pPr>
        <w:pStyle w:val="Obsah2"/>
        <w:rPr>
          <w:rFonts w:ascii="Calibri" w:eastAsiaTheme="minorEastAsia" w:hAnsi="Calibri" w:cs="Calibri"/>
          <w:noProof/>
        </w:rPr>
      </w:pPr>
      <w:hyperlink w:anchor="_Toc99449434" w:history="1">
        <w:r w:rsidR="00B66B70" w:rsidRPr="00BD358E">
          <w:rPr>
            <w:rStyle w:val="Hypertextovprepojenie"/>
            <w:rFonts w:ascii="Calibri" w:hAnsi="Calibri" w:cs="Calibri"/>
            <w:iCs/>
            <w:noProof/>
          </w:rPr>
          <w:t>2.3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Uzatváranie dodatku k zmluve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7</w:t>
        </w:r>
        <w:r w:rsidR="00B66B70" w:rsidRPr="00BD358E">
          <w:rPr>
            <w:rFonts w:ascii="Calibri" w:hAnsi="Calibri" w:cs="Calibri"/>
            <w:noProof/>
            <w:webHidden/>
          </w:rPr>
          <w:fldChar w:fldCharType="end"/>
        </w:r>
      </w:hyperlink>
    </w:p>
    <w:p w14:paraId="04EF7AA4" w14:textId="2D3FCAC4" w:rsidR="00B66B70" w:rsidRPr="00BD358E" w:rsidRDefault="00A214F5">
      <w:pPr>
        <w:pStyle w:val="Obsah2"/>
        <w:rPr>
          <w:rFonts w:ascii="Calibri" w:eastAsiaTheme="minorEastAsia" w:hAnsi="Calibri" w:cs="Calibri"/>
          <w:noProof/>
        </w:rPr>
      </w:pPr>
      <w:hyperlink w:anchor="_Toc99449435" w:history="1">
        <w:r w:rsidR="00B66B70" w:rsidRPr="00BD358E">
          <w:rPr>
            <w:rStyle w:val="Hypertextovprepojenie"/>
            <w:rFonts w:ascii="Calibri" w:hAnsi="Calibri" w:cs="Calibri"/>
            <w:noProof/>
          </w:rPr>
          <w:t>2.4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Ukončenie zmluvy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8</w:t>
        </w:r>
        <w:r w:rsidR="00B66B70" w:rsidRPr="00BD358E">
          <w:rPr>
            <w:rFonts w:ascii="Calibri" w:hAnsi="Calibri" w:cs="Calibri"/>
            <w:noProof/>
            <w:webHidden/>
          </w:rPr>
          <w:fldChar w:fldCharType="end"/>
        </w:r>
      </w:hyperlink>
    </w:p>
    <w:p w14:paraId="7240929B" w14:textId="12243168" w:rsidR="00B66B70" w:rsidRPr="00BD358E" w:rsidRDefault="00A214F5">
      <w:pPr>
        <w:pStyle w:val="Obsah1"/>
        <w:rPr>
          <w:rFonts w:ascii="Calibri" w:eastAsiaTheme="minorEastAsia" w:hAnsi="Calibri" w:cs="Calibri"/>
          <w:caps w:val="0"/>
          <w:noProof/>
        </w:rPr>
      </w:pPr>
      <w:hyperlink w:anchor="_Toc99449436" w:history="1">
        <w:r w:rsidR="00B66B70" w:rsidRPr="00BD358E">
          <w:rPr>
            <w:rStyle w:val="Hypertextovprepojenie"/>
            <w:rFonts w:ascii="Calibri" w:hAnsi="Calibri" w:cs="Calibri"/>
            <w:noProof/>
          </w:rPr>
          <w:t>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Verejné obstarávanie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9</w:t>
        </w:r>
        <w:r w:rsidR="00B66B70" w:rsidRPr="00BD358E">
          <w:rPr>
            <w:rFonts w:ascii="Calibri" w:hAnsi="Calibri" w:cs="Calibri"/>
            <w:noProof/>
            <w:webHidden/>
          </w:rPr>
          <w:fldChar w:fldCharType="end"/>
        </w:r>
      </w:hyperlink>
    </w:p>
    <w:p w14:paraId="32454AE2" w14:textId="2C3DF0FD" w:rsidR="00B66B70" w:rsidRPr="00BD358E" w:rsidRDefault="00A214F5">
      <w:pPr>
        <w:pStyle w:val="Obsah1"/>
        <w:rPr>
          <w:rFonts w:ascii="Calibri" w:eastAsiaTheme="minorEastAsia" w:hAnsi="Calibri" w:cs="Calibri"/>
          <w:caps w:val="0"/>
          <w:noProof/>
        </w:rPr>
      </w:pPr>
      <w:hyperlink w:anchor="_Toc99449437" w:history="1">
        <w:r w:rsidR="00B66B70" w:rsidRPr="00BD358E">
          <w:rPr>
            <w:rStyle w:val="Hypertextovprepojenie"/>
            <w:rFonts w:ascii="Calibri" w:hAnsi="Calibri" w:cs="Calibri"/>
            <w:noProof/>
          </w:rPr>
          <w:t>4.</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Finančné riadenie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7567C45" w14:textId="0C74DD64" w:rsidR="00B66B70" w:rsidRPr="00BD358E" w:rsidRDefault="00A214F5">
      <w:pPr>
        <w:pStyle w:val="Obsah2"/>
        <w:rPr>
          <w:rFonts w:ascii="Calibri" w:eastAsiaTheme="minorEastAsia" w:hAnsi="Calibri" w:cs="Calibri"/>
          <w:noProof/>
        </w:rPr>
      </w:pPr>
      <w:hyperlink w:anchor="_Toc99449440" w:history="1">
        <w:r w:rsidR="00B66B70" w:rsidRPr="00BD358E">
          <w:rPr>
            <w:rStyle w:val="Hypertextovprepojenie"/>
            <w:rFonts w:ascii="Calibri" w:hAnsi="Calibri" w:cs="Calibri"/>
            <w:noProof/>
          </w:rPr>
          <w:t>4.1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Vedenie účtovníctva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3BEA3770" w14:textId="02DC7FFA" w:rsidR="00B66B70" w:rsidRPr="00BD358E" w:rsidRDefault="00A214F5">
      <w:pPr>
        <w:pStyle w:val="Obsah2"/>
        <w:rPr>
          <w:rFonts w:ascii="Calibri" w:eastAsiaTheme="minorEastAsia" w:hAnsi="Calibri" w:cs="Calibri"/>
          <w:noProof/>
        </w:rPr>
      </w:pPr>
      <w:hyperlink w:anchor="_Toc99449441" w:history="1">
        <w:r w:rsidR="00B66B70" w:rsidRPr="00BD358E">
          <w:rPr>
            <w:rStyle w:val="Hypertextovprepojenie"/>
            <w:rFonts w:ascii="Calibri" w:hAnsi="Calibri" w:cs="Calibri"/>
            <w:iCs/>
            <w:noProof/>
          </w:rPr>
          <w:t>4.2</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Oprávnenosť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35D8B65" w14:textId="37DAB502" w:rsidR="00B66B70" w:rsidRPr="00BD358E" w:rsidRDefault="00A214F5">
      <w:pPr>
        <w:pStyle w:val="Obsah2"/>
        <w:rPr>
          <w:rFonts w:ascii="Calibri" w:eastAsiaTheme="minorEastAsia" w:hAnsi="Calibri" w:cs="Calibri"/>
          <w:noProof/>
        </w:rPr>
      </w:pPr>
      <w:hyperlink w:anchor="_Toc99449442" w:history="1">
        <w:r w:rsidR="00B66B70" w:rsidRPr="00BD358E">
          <w:rPr>
            <w:rStyle w:val="Hypertextovprepojenie"/>
            <w:rFonts w:ascii="Calibri" w:hAnsi="Calibri" w:cs="Calibri"/>
            <w:noProof/>
          </w:rPr>
          <w:t>4.3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Spôsob dokladovania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14</w:t>
        </w:r>
        <w:r w:rsidR="00B66B70" w:rsidRPr="00BD358E">
          <w:rPr>
            <w:rFonts w:ascii="Calibri" w:hAnsi="Calibri" w:cs="Calibri"/>
            <w:noProof/>
            <w:webHidden/>
          </w:rPr>
          <w:fldChar w:fldCharType="end"/>
        </w:r>
      </w:hyperlink>
    </w:p>
    <w:p w14:paraId="56B97503" w14:textId="40E64BD6" w:rsidR="00B66B70" w:rsidRPr="00BD358E" w:rsidRDefault="00A214F5">
      <w:pPr>
        <w:pStyle w:val="Obsah2"/>
        <w:rPr>
          <w:rFonts w:ascii="Calibri" w:eastAsiaTheme="minorEastAsia" w:hAnsi="Calibri" w:cs="Calibri"/>
          <w:noProof/>
        </w:rPr>
      </w:pPr>
      <w:hyperlink w:anchor="_Toc99449443" w:history="1">
        <w:r w:rsidR="00B66B70" w:rsidRPr="00BD358E">
          <w:rPr>
            <w:rStyle w:val="Hypertextovprepojenie"/>
            <w:rFonts w:ascii="Calibri" w:hAnsi="Calibri" w:cs="Calibri"/>
            <w:iCs/>
            <w:noProof/>
          </w:rPr>
          <w:t>4.4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Postupy pri žiadostiach o platbu/platby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18</w:t>
        </w:r>
        <w:r w:rsidR="00B66B70" w:rsidRPr="00BD358E">
          <w:rPr>
            <w:rFonts w:ascii="Calibri" w:hAnsi="Calibri" w:cs="Calibri"/>
            <w:noProof/>
            <w:webHidden/>
          </w:rPr>
          <w:fldChar w:fldCharType="end"/>
        </w:r>
      </w:hyperlink>
    </w:p>
    <w:p w14:paraId="23CACD55" w14:textId="16FBEB7B" w:rsidR="00B66B70" w:rsidRPr="00BD358E" w:rsidRDefault="00A214F5">
      <w:pPr>
        <w:pStyle w:val="Obsah2"/>
        <w:rPr>
          <w:rFonts w:ascii="Calibri" w:eastAsiaTheme="minorEastAsia" w:hAnsi="Calibri" w:cs="Calibri"/>
          <w:noProof/>
        </w:rPr>
      </w:pPr>
      <w:hyperlink w:anchor="_Toc99449444" w:history="1">
        <w:r w:rsidR="00B66B70" w:rsidRPr="00BD358E">
          <w:rPr>
            <w:rStyle w:val="Hypertextovprepojenie"/>
            <w:rFonts w:ascii="Calibri" w:hAnsi="Calibri" w:cs="Calibri"/>
            <w:noProof/>
          </w:rPr>
          <w:t>4.5</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Špecifiká jednotlivých systémov financovania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21</w:t>
        </w:r>
        <w:r w:rsidR="00B66B70" w:rsidRPr="00BD358E">
          <w:rPr>
            <w:rFonts w:ascii="Calibri" w:hAnsi="Calibri" w:cs="Calibri"/>
            <w:noProof/>
            <w:webHidden/>
          </w:rPr>
          <w:fldChar w:fldCharType="end"/>
        </w:r>
      </w:hyperlink>
    </w:p>
    <w:p w14:paraId="3633F62B" w14:textId="746214EA" w:rsidR="00B66B70" w:rsidRPr="00BD358E" w:rsidRDefault="00A214F5">
      <w:pPr>
        <w:pStyle w:val="Obsah2"/>
        <w:rPr>
          <w:rFonts w:ascii="Calibri" w:eastAsiaTheme="minorEastAsia" w:hAnsi="Calibri" w:cs="Calibri"/>
          <w:noProof/>
        </w:rPr>
      </w:pPr>
      <w:hyperlink w:anchor="_Toc99449445" w:history="1">
        <w:r w:rsidR="00B66B70" w:rsidRPr="00BD358E">
          <w:rPr>
            <w:rStyle w:val="Hypertextovprepojenie"/>
            <w:rFonts w:ascii="Calibri" w:hAnsi="Calibri" w:cs="Calibri"/>
            <w:noProof/>
          </w:rPr>
          <w:t>4.6</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Účtovné doklady a ich 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25</w:t>
        </w:r>
        <w:r w:rsidR="00B66B70" w:rsidRPr="00BD358E">
          <w:rPr>
            <w:rFonts w:ascii="Calibri" w:hAnsi="Calibri" w:cs="Calibri"/>
            <w:noProof/>
            <w:webHidden/>
          </w:rPr>
          <w:fldChar w:fldCharType="end"/>
        </w:r>
      </w:hyperlink>
    </w:p>
    <w:p w14:paraId="0277A39F" w14:textId="5122099B" w:rsidR="00B66B70" w:rsidRPr="00BD358E" w:rsidRDefault="00A214F5">
      <w:pPr>
        <w:pStyle w:val="Obsah2"/>
        <w:rPr>
          <w:rFonts w:ascii="Calibri" w:eastAsiaTheme="minorEastAsia" w:hAnsi="Calibri" w:cs="Calibri"/>
          <w:noProof/>
        </w:rPr>
      </w:pPr>
      <w:hyperlink w:anchor="_Toc99449446" w:history="1">
        <w:r w:rsidR="00B66B70" w:rsidRPr="00BD358E">
          <w:rPr>
            <w:rStyle w:val="Hypertextovprepojenie"/>
            <w:rFonts w:ascii="Calibri" w:hAnsi="Calibri" w:cs="Calibri"/>
            <w:noProof/>
          </w:rPr>
          <w:t>4.7</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Vysporiadanie finančných vzťahov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26</w:t>
        </w:r>
        <w:r w:rsidR="00B66B70" w:rsidRPr="00BD358E">
          <w:rPr>
            <w:rFonts w:ascii="Calibri" w:hAnsi="Calibri" w:cs="Calibri"/>
            <w:noProof/>
            <w:webHidden/>
          </w:rPr>
          <w:fldChar w:fldCharType="end"/>
        </w:r>
      </w:hyperlink>
    </w:p>
    <w:p w14:paraId="42CCAFA0" w14:textId="5EE84870" w:rsidR="00B66B70" w:rsidRPr="00BD358E" w:rsidRDefault="00A214F5">
      <w:pPr>
        <w:pStyle w:val="Obsah1"/>
        <w:rPr>
          <w:rFonts w:ascii="Calibri" w:eastAsiaTheme="minorEastAsia" w:hAnsi="Calibri" w:cs="Calibri"/>
          <w:caps w:val="0"/>
          <w:noProof/>
        </w:rPr>
      </w:pPr>
      <w:hyperlink w:anchor="_Toc99449447" w:history="1">
        <w:r w:rsidR="00B66B70" w:rsidRPr="00BD358E">
          <w:rPr>
            <w:rStyle w:val="Hypertextovprepojenie"/>
            <w:rFonts w:ascii="Calibri" w:hAnsi="Calibri" w:cs="Calibri"/>
            <w:noProof/>
          </w:rPr>
          <w:t>5.</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Monitorovanie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28</w:t>
        </w:r>
        <w:r w:rsidR="00B66B70" w:rsidRPr="00BD358E">
          <w:rPr>
            <w:rFonts w:ascii="Calibri" w:hAnsi="Calibri" w:cs="Calibri"/>
            <w:noProof/>
            <w:webHidden/>
          </w:rPr>
          <w:fldChar w:fldCharType="end"/>
        </w:r>
      </w:hyperlink>
    </w:p>
    <w:p w14:paraId="417A750E" w14:textId="1850827D" w:rsidR="00B66B70" w:rsidRPr="00BD358E" w:rsidRDefault="00A214F5">
      <w:pPr>
        <w:pStyle w:val="Obsah2"/>
        <w:rPr>
          <w:rFonts w:ascii="Calibri" w:eastAsiaTheme="minorEastAsia" w:hAnsi="Calibri" w:cs="Calibri"/>
          <w:noProof/>
        </w:rPr>
      </w:pPr>
      <w:hyperlink w:anchor="_Toc99449449" w:history="1">
        <w:r w:rsidR="00B66B70" w:rsidRPr="00BD358E">
          <w:rPr>
            <w:rStyle w:val="Hypertextovprepojenie"/>
            <w:rFonts w:ascii="Calibri" w:hAnsi="Calibri" w:cs="Calibri"/>
            <w:noProof/>
          </w:rPr>
          <w:t>5.1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Druhy monitorovacích správ a informácií</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29</w:t>
        </w:r>
        <w:r w:rsidR="00B66B70" w:rsidRPr="00BD358E">
          <w:rPr>
            <w:rFonts w:ascii="Calibri" w:hAnsi="Calibri" w:cs="Calibri"/>
            <w:noProof/>
            <w:webHidden/>
          </w:rPr>
          <w:fldChar w:fldCharType="end"/>
        </w:r>
      </w:hyperlink>
    </w:p>
    <w:p w14:paraId="11E96218" w14:textId="268DCD96" w:rsidR="00B66B70" w:rsidRPr="00BD358E" w:rsidRDefault="00A214F5">
      <w:pPr>
        <w:pStyle w:val="Obsah1"/>
        <w:rPr>
          <w:rFonts w:ascii="Calibri" w:eastAsiaTheme="minorEastAsia" w:hAnsi="Calibri" w:cs="Calibri"/>
          <w:caps w:val="0"/>
          <w:noProof/>
        </w:rPr>
      </w:pPr>
      <w:hyperlink w:anchor="_Toc99449450" w:history="1">
        <w:r w:rsidR="00B66B70" w:rsidRPr="00BD358E">
          <w:rPr>
            <w:rStyle w:val="Hypertextovprepojenie"/>
            <w:rFonts w:ascii="Calibri" w:hAnsi="Calibri" w:cs="Calibri"/>
            <w:noProof/>
          </w:rPr>
          <w:t>6.</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Finančná  kontrola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31</w:t>
        </w:r>
        <w:r w:rsidR="00B66B70" w:rsidRPr="00BD358E">
          <w:rPr>
            <w:rFonts w:ascii="Calibri" w:hAnsi="Calibri" w:cs="Calibri"/>
            <w:noProof/>
            <w:webHidden/>
          </w:rPr>
          <w:fldChar w:fldCharType="end"/>
        </w:r>
      </w:hyperlink>
    </w:p>
    <w:p w14:paraId="4164FB8D" w14:textId="19B4F9FE" w:rsidR="00B66B70" w:rsidRPr="00BD358E" w:rsidRDefault="00A214F5">
      <w:pPr>
        <w:pStyle w:val="Obsah2"/>
        <w:rPr>
          <w:rFonts w:ascii="Calibri" w:eastAsiaTheme="minorEastAsia" w:hAnsi="Calibri" w:cs="Calibri"/>
          <w:noProof/>
        </w:rPr>
      </w:pPr>
      <w:hyperlink w:anchor="_Toc99449451" w:history="1">
        <w:r w:rsidR="00B66B70" w:rsidRPr="00BD358E">
          <w:rPr>
            <w:rStyle w:val="Hypertextovprepojenie"/>
            <w:rFonts w:ascii="Calibri" w:hAnsi="Calibri" w:cs="Calibri"/>
            <w:noProof/>
          </w:rPr>
          <w:t>6.1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 realizácie finančnej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32</w:t>
        </w:r>
        <w:r w:rsidR="00B66B70" w:rsidRPr="00BD358E">
          <w:rPr>
            <w:rFonts w:ascii="Calibri" w:hAnsi="Calibri" w:cs="Calibri"/>
            <w:noProof/>
            <w:webHidden/>
          </w:rPr>
          <w:fldChar w:fldCharType="end"/>
        </w:r>
      </w:hyperlink>
    </w:p>
    <w:p w14:paraId="5A1318FA" w14:textId="16CC772F" w:rsidR="00B66B70" w:rsidRPr="00BD358E" w:rsidRDefault="00A214F5">
      <w:pPr>
        <w:pStyle w:val="Obsah2"/>
        <w:rPr>
          <w:rFonts w:ascii="Calibri" w:eastAsiaTheme="minorEastAsia" w:hAnsi="Calibri" w:cs="Calibri"/>
          <w:noProof/>
        </w:rPr>
      </w:pPr>
      <w:hyperlink w:anchor="_Toc99449452" w:history="1">
        <w:r w:rsidR="00B66B70" w:rsidRPr="00BD358E">
          <w:rPr>
            <w:rStyle w:val="Hypertextovprepojenie"/>
            <w:rFonts w:ascii="Calibri" w:hAnsi="Calibri" w:cs="Calibri"/>
            <w:noProof/>
          </w:rPr>
          <w:t>6.2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Práva a povinnosti prijímateľa pri výkone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29B216F9" w14:textId="05648B30" w:rsidR="00B66B70" w:rsidRPr="00BD358E" w:rsidRDefault="00A214F5">
      <w:pPr>
        <w:pStyle w:val="Obsah1"/>
        <w:rPr>
          <w:rFonts w:ascii="Calibri" w:eastAsiaTheme="minorEastAsia" w:hAnsi="Calibri" w:cs="Calibri"/>
          <w:caps w:val="0"/>
          <w:noProof/>
        </w:rPr>
      </w:pPr>
      <w:hyperlink w:anchor="_Toc99449453" w:history="1">
        <w:r w:rsidR="00B66B70" w:rsidRPr="00BD358E">
          <w:rPr>
            <w:rStyle w:val="Hypertextovprepojenie"/>
            <w:rFonts w:ascii="Calibri" w:hAnsi="Calibri" w:cs="Calibri"/>
            <w:noProof/>
          </w:rPr>
          <w:t>7.</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Informovanie a 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3028145E" w14:textId="11A0D05F" w:rsidR="00B66B70" w:rsidRPr="00BD358E" w:rsidRDefault="00A214F5">
      <w:pPr>
        <w:pStyle w:val="Obsah1"/>
        <w:rPr>
          <w:rFonts w:ascii="Calibri" w:eastAsiaTheme="minorEastAsia" w:hAnsi="Calibri" w:cs="Calibri"/>
          <w:caps w:val="0"/>
          <w:noProof/>
        </w:rPr>
      </w:pPr>
      <w:hyperlink w:anchor="_Toc99449454" w:history="1">
        <w:r w:rsidR="00B66B70" w:rsidRPr="00BD358E">
          <w:rPr>
            <w:rStyle w:val="Hypertextovprepojenie"/>
            <w:rFonts w:ascii="Calibri" w:hAnsi="Calibri" w:cs="Calibri"/>
            <w:noProof/>
          </w:rPr>
          <w:t>8.</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Nezrovnalosti</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0CA21FAF" w14:textId="35C44D83" w:rsidR="00B66B70" w:rsidRPr="00BD358E" w:rsidRDefault="00A214F5">
      <w:pPr>
        <w:pStyle w:val="Obsah1"/>
        <w:rPr>
          <w:rFonts w:ascii="Calibri" w:eastAsiaTheme="minorEastAsia" w:hAnsi="Calibri" w:cs="Calibri"/>
          <w:caps w:val="0"/>
          <w:noProof/>
        </w:rPr>
      </w:pPr>
      <w:hyperlink w:anchor="_Toc99449455" w:history="1">
        <w:r w:rsidR="00B66B70" w:rsidRPr="00BD358E">
          <w:rPr>
            <w:rStyle w:val="Hypertextovprepojenie"/>
            <w:rFonts w:ascii="Calibri" w:hAnsi="Calibri" w:cs="Calibri"/>
            <w:noProof/>
          </w:rPr>
          <w:t>9.</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Povinnosti  prijímateľa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42A645A1" w14:textId="5E0BBE4E" w:rsidR="00B66B70" w:rsidRPr="00BD358E" w:rsidRDefault="00A214F5">
      <w:pPr>
        <w:pStyle w:val="Obsah2"/>
        <w:rPr>
          <w:rFonts w:ascii="Calibri" w:eastAsiaTheme="minorEastAsia" w:hAnsi="Calibri" w:cs="Calibri"/>
          <w:noProof/>
        </w:rPr>
      </w:pPr>
      <w:hyperlink w:anchor="_Toc99449456" w:history="1">
        <w:r w:rsidR="00B66B70" w:rsidRPr="00BD358E">
          <w:rPr>
            <w:rStyle w:val="Hypertextovprepojenie"/>
            <w:rFonts w:ascii="Calibri" w:hAnsi="Calibri" w:cs="Calibri"/>
            <w:iCs/>
            <w:noProof/>
          </w:rPr>
          <w:t>9.1</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Udržateľnosť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7FCA0F25" w14:textId="5EEEBDE0" w:rsidR="00B66B70" w:rsidRPr="00BD358E" w:rsidRDefault="00A214F5">
      <w:pPr>
        <w:pStyle w:val="Obsah2"/>
        <w:rPr>
          <w:rFonts w:ascii="Calibri" w:eastAsiaTheme="minorEastAsia" w:hAnsi="Calibri" w:cs="Calibri"/>
          <w:noProof/>
        </w:rPr>
      </w:pPr>
      <w:hyperlink w:anchor="_Toc99449457" w:history="1">
        <w:r w:rsidR="00B66B70" w:rsidRPr="00BD358E">
          <w:rPr>
            <w:rStyle w:val="Hypertextovprepojenie"/>
            <w:rFonts w:ascii="Calibri" w:hAnsi="Calibri" w:cs="Calibri"/>
            <w:noProof/>
          </w:rPr>
          <w:t>9.2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Uchovávanie dokumentácie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05B40099" w14:textId="306CEA03" w:rsidR="00B66B70" w:rsidRPr="00BD358E" w:rsidRDefault="00A214F5">
      <w:pPr>
        <w:pStyle w:val="Obsah1"/>
        <w:rPr>
          <w:rFonts w:ascii="Calibri" w:eastAsiaTheme="minorEastAsia" w:hAnsi="Calibri" w:cs="Calibri"/>
          <w:caps w:val="0"/>
          <w:noProof/>
        </w:rPr>
      </w:pPr>
      <w:hyperlink w:anchor="_Toc99449458" w:history="1">
        <w:r w:rsidR="00B66B70" w:rsidRPr="00BD358E">
          <w:rPr>
            <w:rStyle w:val="Hypertextovprepojenie"/>
            <w:rFonts w:ascii="Calibri" w:hAnsi="Calibri" w:cs="Calibri"/>
            <w:noProof/>
          </w:rPr>
          <w:t>10.</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65878E53" w14:textId="691D79F7" w:rsidR="00B66B70" w:rsidRPr="00BD358E" w:rsidRDefault="00A214F5">
      <w:pPr>
        <w:pStyle w:val="Obsah1"/>
        <w:rPr>
          <w:rFonts w:ascii="Calibri" w:eastAsiaTheme="minorEastAsia" w:hAnsi="Calibri" w:cs="Calibri"/>
          <w:caps w:val="0"/>
          <w:noProof/>
        </w:rPr>
      </w:pPr>
      <w:hyperlink w:anchor="_Toc99449459" w:history="1">
        <w:r w:rsidR="00B66B70" w:rsidRPr="00BD358E">
          <w:rPr>
            <w:rStyle w:val="Hypertextovprepojenie"/>
            <w:rFonts w:ascii="Calibri" w:hAnsi="Calibri" w:cs="Calibri"/>
            <w:noProof/>
          </w:rPr>
          <w:t>11.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Definície základných pojmov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38</w:t>
        </w:r>
        <w:r w:rsidR="00B66B70" w:rsidRPr="00BD358E">
          <w:rPr>
            <w:rFonts w:ascii="Calibri" w:hAnsi="Calibri" w:cs="Calibri"/>
            <w:noProof/>
            <w:webHidden/>
          </w:rPr>
          <w:fldChar w:fldCharType="end"/>
        </w:r>
      </w:hyperlink>
    </w:p>
    <w:p w14:paraId="1C6BEE74" w14:textId="74F437CB" w:rsidR="00B66B70" w:rsidRPr="00BD358E" w:rsidRDefault="00A214F5">
      <w:pPr>
        <w:pStyle w:val="Obsah1"/>
        <w:rPr>
          <w:rFonts w:ascii="Calibri" w:eastAsiaTheme="minorEastAsia" w:hAnsi="Calibri" w:cs="Calibri"/>
          <w:caps w:val="0"/>
          <w:noProof/>
        </w:rPr>
      </w:pPr>
      <w:hyperlink w:anchor="_Toc99449460" w:history="1">
        <w:r w:rsidR="00B66B70" w:rsidRPr="00BD358E">
          <w:rPr>
            <w:rStyle w:val="Hypertextovprepojenie"/>
            <w:rFonts w:ascii="Calibri" w:hAnsi="Calibri" w:cs="Calibri"/>
            <w:noProof/>
          </w:rPr>
          <w:t>12.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Zoznam použitých skratiek</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39</w:t>
        </w:r>
        <w:r w:rsidR="00B66B70" w:rsidRPr="00BD358E">
          <w:rPr>
            <w:rFonts w:ascii="Calibri" w:hAnsi="Calibri" w:cs="Calibri"/>
            <w:noProof/>
            <w:webHidden/>
          </w:rPr>
          <w:fldChar w:fldCharType="end"/>
        </w:r>
      </w:hyperlink>
    </w:p>
    <w:p w14:paraId="73A7ABFC" w14:textId="14A9503C" w:rsidR="00B66B70" w:rsidRPr="00BD358E" w:rsidRDefault="00A214F5">
      <w:pPr>
        <w:pStyle w:val="Obsah1"/>
        <w:rPr>
          <w:rFonts w:ascii="Calibri" w:eastAsiaTheme="minorEastAsia" w:hAnsi="Calibri" w:cs="Calibri"/>
          <w:caps w:val="0"/>
          <w:noProof/>
        </w:rPr>
      </w:pPr>
      <w:hyperlink w:anchor="_Toc99449461" w:history="1">
        <w:r w:rsidR="00B66B70" w:rsidRPr="00BD358E">
          <w:rPr>
            <w:rStyle w:val="Hypertextovprepojenie"/>
            <w:rFonts w:ascii="Calibri" w:hAnsi="Calibri" w:cs="Calibri"/>
            <w:noProof/>
          </w:rPr>
          <w:t>13.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40</w:t>
        </w:r>
        <w:r w:rsidR="00B66B70" w:rsidRPr="00BD358E">
          <w:rPr>
            <w:rFonts w:ascii="Calibri" w:hAnsi="Calibri" w:cs="Calibri"/>
            <w:noProof/>
            <w:webHidden/>
          </w:rPr>
          <w:fldChar w:fldCharType="end"/>
        </w:r>
      </w:hyperlink>
    </w:p>
    <w:p w14:paraId="5A5A99F9" w14:textId="620E7971" w:rsidR="00124977" w:rsidRPr="004A2E1C" w:rsidRDefault="00012780" w:rsidP="00B66B70">
      <w:pPr>
        <w:widowControl w:val="0"/>
        <w:spacing w:line="276" w:lineRule="auto"/>
        <w:rPr>
          <w:rStyle w:val="Hypertextovprepojenie"/>
          <w:caps/>
          <w:noProof/>
          <w:sz w:val="22"/>
          <w:szCs w:val="22"/>
        </w:rPr>
      </w:pPr>
      <w:r w:rsidRPr="00BD358E">
        <w:rPr>
          <w:rStyle w:val="Hypertextovprepojenie"/>
          <w:rFonts w:ascii="Calibri" w:hAnsi="Calibri" w:cs="Calibri"/>
          <w:noProof/>
          <w:sz w:val="20"/>
          <w:szCs w:val="20"/>
        </w:rPr>
        <w:fldChar w:fldCharType="end"/>
      </w:r>
    </w:p>
    <w:p w14:paraId="6DA9A9FB" w14:textId="03F86679" w:rsidR="00DC0F99" w:rsidRPr="004A2E1C" w:rsidRDefault="00124977" w:rsidP="00B66B70">
      <w:pPr>
        <w:widowControl w:val="0"/>
        <w:spacing w:line="276" w:lineRule="auto"/>
        <w:rPr>
          <w:b/>
          <w:bCs/>
          <w:sz w:val="20"/>
          <w:szCs w:val="20"/>
        </w:rPr>
      </w:pPr>
      <w:r w:rsidRPr="004A2E1C">
        <w:rPr>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0" w:name="_Toc164424684"/>
      <w:bookmarkStart w:id="1" w:name="_Toc182198155"/>
      <w:bookmarkStart w:id="2" w:name="_Toc257620579"/>
      <w:bookmarkStart w:id="3" w:name="_Toc99449427"/>
      <w:r w:rsidRPr="00BE4C87">
        <w:lastRenderedPageBreak/>
        <w:t>Úvod</w:t>
      </w:r>
      <w:bookmarkEnd w:id="0"/>
      <w:bookmarkEnd w:id="1"/>
      <w:bookmarkEnd w:id="2"/>
      <w:bookmarkEnd w:id="3"/>
      <w:r w:rsidRPr="00BE4C87">
        <w:tab/>
      </w:r>
    </w:p>
    <w:p w14:paraId="2730388A" w14:textId="77777777" w:rsidR="00DC0F99" w:rsidRPr="00BE4C87" w:rsidRDefault="00DC0F99" w:rsidP="00B66B70">
      <w:pPr>
        <w:pStyle w:val="Nadpis2"/>
        <w:keepNext w:val="0"/>
        <w:widowControl w:val="0"/>
        <w:rPr>
          <w:b w:val="0"/>
          <w:i/>
          <w:iCs/>
        </w:rPr>
      </w:pPr>
      <w:bookmarkStart w:id="4" w:name="_Toc257620580"/>
      <w:bookmarkStart w:id="5" w:name="_Toc99449428"/>
      <w:r w:rsidRPr="00BE4C87">
        <w:rPr>
          <w:b w:val="0"/>
        </w:rPr>
        <w:t>C</w:t>
      </w:r>
      <w:bookmarkEnd w:id="4"/>
      <w:r w:rsidRPr="00BE4C87">
        <w:rPr>
          <w:b w:val="0"/>
        </w:rPr>
        <w:t>ieľ</w:t>
      </w:r>
      <w:bookmarkEnd w:id="5"/>
    </w:p>
    <w:p w14:paraId="7FF5D46E" w14:textId="7928460C"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65104ED"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48D96287"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0B1466DC"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w:t>
      </w:r>
      <w:r w:rsidR="009964D5">
        <w:rPr>
          <w:rFonts w:asciiTheme="minorHAnsi" w:hAnsiTheme="minorHAnsi" w:cstheme="minorHAnsi"/>
          <w:sz w:val="20"/>
        </w:rPr>
        <w:t xml:space="preserve"> a investícia 5  6 komponentu 19</w:t>
      </w:r>
      <w:r w:rsidRPr="000B6695">
        <w:rPr>
          <w:rFonts w:asciiTheme="minorHAnsi" w:hAnsiTheme="minorHAnsi" w:cstheme="minorHAnsi"/>
          <w:sz w:val="20"/>
        </w:rPr>
        <w:t>),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w:t>
      </w:r>
      <w:r w:rsidR="009964D5">
        <w:rPr>
          <w:rFonts w:asciiTheme="minorHAnsi" w:hAnsiTheme="minorHAnsi" w:cstheme="minorHAnsi"/>
          <w:sz w:val="20"/>
        </w:rPr>
        <w:t xml:space="preserve">-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w:t>
      </w:r>
      <w:r w:rsidR="009964D5">
        <w:rPr>
          <w:rFonts w:asciiTheme="minorHAnsi" w:hAnsiTheme="minorHAnsi" w:cstheme="minorHAnsi"/>
          <w:sz w:val="20"/>
        </w:rPr>
        <w:t>; investícia 3  reforma 3 komponentu 19</w:t>
      </w:r>
      <w:r w:rsidRPr="000B6695">
        <w:rPr>
          <w:rFonts w:asciiTheme="minorHAnsi" w:hAnsiTheme="minorHAnsi" w:cstheme="minorHAnsi"/>
          <w:sz w:val="20"/>
        </w:rPr>
        <w:t xml:space="preserve">) a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22438667"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je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6" w:name="_Toc257618491"/>
      <w:bookmarkStart w:id="7" w:name="_Toc257618933"/>
      <w:bookmarkStart w:id="8" w:name="_Toc257619020"/>
      <w:bookmarkStart w:id="9" w:name="_Toc257619190"/>
      <w:bookmarkStart w:id="10" w:name="_Toc257619833"/>
      <w:bookmarkStart w:id="11" w:name="_Toc257619993"/>
      <w:bookmarkStart w:id="12" w:name="_Toc257620582"/>
      <w:bookmarkStart w:id="13" w:name="_Toc257618492"/>
      <w:bookmarkStart w:id="14" w:name="_Toc257618934"/>
      <w:bookmarkStart w:id="15" w:name="_Toc257619021"/>
      <w:bookmarkStart w:id="16" w:name="_Toc257619191"/>
      <w:bookmarkStart w:id="17" w:name="_Toc257619834"/>
      <w:bookmarkStart w:id="18" w:name="_Toc257619994"/>
      <w:bookmarkStart w:id="19" w:name="_Toc257620583"/>
      <w:bookmarkStart w:id="20" w:name="_Toc257618493"/>
      <w:bookmarkStart w:id="21" w:name="_Toc257618935"/>
      <w:bookmarkStart w:id="22" w:name="_Toc257619022"/>
      <w:bookmarkStart w:id="23" w:name="_Toc257619192"/>
      <w:bookmarkStart w:id="24" w:name="_Toc257619835"/>
      <w:bookmarkStart w:id="25" w:name="_Toc257619995"/>
      <w:bookmarkStart w:id="26" w:name="_Toc257620584"/>
      <w:bookmarkStart w:id="27" w:name="_Toc257618494"/>
      <w:bookmarkStart w:id="28" w:name="_Toc257618936"/>
      <w:bookmarkStart w:id="29" w:name="_Toc257619023"/>
      <w:bookmarkStart w:id="30" w:name="_Toc257619193"/>
      <w:bookmarkStart w:id="31" w:name="_Toc257619836"/>
      <w:bookmarkStart w:id="32" w:name="_Toc257619996"/>
      <w:bookmarkStart w:id="33" w:name="_Toc257620585"/>
      <w:bookmarkStart w:id="34" w:name="_Toc257618495"/>
      <w:bookmarkStart w:id="35" w:name="_Toc257618937"/>
      <w:bookmarkStart w:id="36" w:name="_Toc257619024"/>
      <w:bookmarkStart w:id="37" w:name="_Toc257619194"/>
      <w:bookmarkStart w:id="38" w:name="_Toc257619837"/>
      <w:bookmarkStart w:id="39" w:name="_Toc257619997"/>
      <w:bookmarkStart w:id="40" w:name="_Toc257620586"/>
      <w:bookmarkStart w:id="41" w:name="_Toc164424721"/>
      <w:bookmarkStart w:id="42" w:name="_Toc182198158"/>
      <w:bookmarkStart w:id="43" w:name="_Toc257620587"/>
      <w:bookmarkStart w:id="44" w:name="_Toc994494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BE4C87">
        <w:rPr>
          <w:b w:val="0"/>
        </w:rPr>
        <w:t xml:space="preserve">Platnosť </w:t>
      </w:r>
      <w:r w:rsidR="00AD742C">
        <w:rPr>
          <w:b w:val="0"/>
        </w:rPr>
        <w:t xml:space="preserve">a účinnosť </w:t>
      </w:r>
      <w:r w:rsidRPr="00BE4C87">
        <w:rPr>
          <w:b w:val="0"/>
        </w:rPr>
        <w:t>príručky</w:t>
      </w:r>
      <w:bookmarkEnd w:id="41"/>
      <w:bookmarkEnd w:id="42"/>
      <w:bookmarkEnd w:id="43"/>
      <w:bookmarkEnd w:id="44"/>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1442CD17"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37DFEB49"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lastRenderedPageBreak/>
        <w:t>Za účelom opravy formálnych chýb/nedostatkov v platnej verzii príručky (napr. nesprávne uvedený odkaz, 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628C5BA3"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5" w:name="_Toc99449430"/>
      <w:r>
        <w:t xml:space="preserve">Zmluva o </w:t>
      </w:r>
      <w:r w:rsidR="007909D9" w:rsidRPr="007909D9">
        <w:t>poskytnutí prostriedkov mechanizmu</w:t>
      </w:r>
      <w:bookmarkEnd w:id="45"/>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6" w:name="_Toc414320871"/>
      <w:bookmarkStart w:id="47" w:name="_Toc415007724"/>
      <w:bookmarkStart w:id="48" w:name="_Toc416396438"/>
      <w:bookmarkStart w:id="49" w:name="_Toc419063949"/>
      <w:bookmarkStart w:id="50" w:name="_Toc419358831"/>
      <w:bookmarkStart w:id="51" w:name="_Toc419583144"/>
      <w:bookmarkStart w:id="52" w:name="_Toc446404080"/>
      <w:bookmarkStart w:id="53" w:name="_Toc451862884"/>
      <w:bookmarkStart w:id="54" w:name="_Toc93416839"/>
      <w:bookmarkStart w:id="55" w:name="_Toc93501622"/>
      <w:bookmarkStart w:id="56" w:name="_Toc93502422"/>
      <w:bookmarkStart w:id="57" w:name="_Toc98504257"/>
      <w:bookmarkStart w:id="58" w:name="_Toc98504371"/>
      <w:bookmarkStart w:id="59" w:name="_Toc99449259"/>
      <w:bookmarkStart w:id="60" w:name="_Toc9944943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552A5C" w14:textId="77777777" w:rsidR="00C91985" w:rsidRPr="00BE4C87" w:rsidRDefault="008A0074" w:rsidP="00B66B70">
      <w:pPr>
        <w:pStyle w:val="Nadpis2"/>
        <w:keepNext w:val="0"/>
        <w:widowControl w:val="0"/>
        <w:rPr>
          <w:b w:val="0"/>
        </w:rPr>
      </w:pPr>
      <w:bookmarkStart w:id="61" w:name="_Toc99449432"/>
      <w:r w:rsidRPr="00BE4C87">
        <w:rPr>
          <w:b w:val="0"/>
        </w:rPr>
        <w:t>Zmluvné zabezpečenie realizácie projektu</w:t>
      </w:r>
      <w:bookmarkEnd w:id="61"/>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32DD7833"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2" w:name="_Toc267907350"/>
      <w:bookmarkStart w:id="63" w:name="_Toc267907592"/>
      <w:bookmarkStart w:id="64" w:name="_Toc268005908"/>
      <w:bookmarkStart w:id="65" w:name="_Toc268163546"/>
      <w:bookmarkStart w:id="66" w:name="_Toc268185643"/>
      <w:bookmarkStart w:id="67" w:name="_Toc268185693"/>
      <w:bookmarkStart w:id="68" w:name="_Toc268185742"/>
      <w:bookmarkStart w:id="69" w:name="_Toc268169833"/>
      <w:bookmarkStart w:id="70" w:name="_Toc268169884"/>
      <w:bookmarkStart w:id="71" w:name="_Toc268169930"/>
      <w:bookmarkStart w:id="72" w:name="_Toc268169976"/>
      <w:bookmarkStart w:id="73" w:name="_Toc268173080"/>
      <w:bookmarkStart w:id="74" w:name="_Toc268261054"/>
      <w:bookmarkStart w:id="75" w:name="_Toc268264863"/>
      <w:bookmarkStart w:id="76" w:name="_Toc268270229"/>
      <w:bookmarkStart w:id="77" w:name="_Toc268509519"/>
      <w:bookmarkStart w:id="78" w:name="_Toc268510177"/>
      <w:bookmarkStart w:id="79" w:name="_Toc268605609"/>
      <w:bookmarkStart w:id="80" w:name="_Toc268607177"/>
      <w:bookmarkStart w:id="81" w:name="_Toc270666495"/>
      <w:bookmarkStart w:id="82" w:name="_Toc270672098"/>
      <w:bookmarkStart w:id="83" w:name="_Toc270672294"/>
      <w:bookmarkStart w:id="84" w:name="_Toc273436884"/>
      <w:bookmarkStart w:id="85" w:name="_Toc273443293"/>
      <w:bookmarkStart w:id="86" w:name="_Toc273605652"/>
      <w:bookmarkStart w:id="87" w:name="_Toc308612244"/>
      <w:bookmarkStart w:id="88" w:name="_Toc308696909"/>
      <w:bookmarkStart w:id="89" w:name="_Toc386467891"/>
      <w:bookmarkStart w:id="90" w:name="_Toc413705533"/>
      <w:bookmarkStart w:id="91" w:name="_Toc413870320"/>
      <w:bookmarkStart w:id="92" w:name="_Toc413968090"/>
      <w:bookmarkStart w:id="93" w:name="_Toc413968137"/>
      <w:bookmarkStart w:id="94" w:name="_Toc413968184"/>
      <w:bookmarkStart w:id="95" w:name="_Toc413968852"/>
      <w:bookmarkStart w:id="96" w:name="_Toc414048976"/>
      <w:bookmarkStart w:id="97" w:name="_Toc414141110"/>
      <w:bookmarkStart w:id="98" w:name="_Toc414231347"/>
      <w:bookmarkStart w:id="99" w:name="_Toc414261339"/>
      <w:bookmarkStart w:id="100" w:name="_Toc414264046"/>
      <w:bookmarkStart w:id="101" w:name="_Toc414284924"/>
      <w:bookmarkStart w:id="102" w:name="_Toc414285837"/>
      <w:bookmarkStart w:id="103" w:name="_Toc414311900"/>
      <w:bookmarkStart w:id="104" w:name="_Toc414318258"/>
      <w:bookmarkStart w:id="105" w:name="_Toc414320228"/>
      <w:bookmarkStart w:id="106" w:name="_Toc414320873"/>
      <w:bookmarkStart w:id="107" w:name="_Toc267907351"/>
      <w:bookmarkStart w:id="108" w:name="_Toc267907593"/>
      <w:bookmarkStart w:id="109" w:name="_Toc268005909"/>
      <w:bookmarkStart w:id="110" w:name="_Toc268163547"/>
      <w:bookmarkStart w:id="111" w:name="_Toc268185644"/>
      <w:bookmarkStart w:id="112" w:name="_Toc268185694"/>
      <w:bookmarkStart w:id="113" w:name="_Toc268185743"/>
      <w:bookmarkStart w:id="114" w:name="_Toc268169834"/>
      <w:bookmarkStart w:id="115" w:name="_Toc268169885"/>
      <w:bookmarkStart w:id="116" w:name="_Toc268169931"/>
      <w:bookmarkStart w:id="117" w:name="_Toc268169977"/>
      <w:bookmarkStart w:id="118" w:name="_Toc268173081"/>
      <w:bookmarkStart w:id="119" w:name="_Toc268261055"/>
      <w:bookmarkStart w:id="120" w:name="_Toc268264864"/>
      <w:bookmarkStart w:id="121" w:name="_Toc268270230"/>
      <w:bookmarkStart w:id="122" w:name="_Toc268509520"/>
      <w:bookmarkStart w:id="123" w:name="_Toc268510178"/>
      <w:bookmarkStart w:id="124" w:name="_Toc268605610"/>
      <w:bookmarkStart w:id="125" w:name="_Toc268607178"/>
      <w:bookmarkStart w:id="126" w:name="_Toc270666496"/>
      <w:bookmarkStart w:id="127" w:name="_Toc270672099"/>
      <w:bookmarkStart w:id="128" w:name="_Toc270672295"/>
      <w:bookmarkStart w:id="129" w:name="_Toc273436885"/>
      <w:bookmarkStart w:id="130" w:name="_Toc273443294"/>
      <w:bookmarkStart w:id="131" w:name="_Toc273605653"/>
      <w:bookmarkStart w:id="132" w:name="_Toc308612245"/>
      <w:bookmarkStart w:id="133" w:name="_Toc308696910"/>
      <w:bookmarkStart w:id="134" w:name="_Toc386467892"/>
      <w:bookmarkStart w:id="135" w:name="_Toc413705534"/>
      <w:bookmarkStart w:id="136" w:name="_Toc413870321"/>
      <w:bookmarkStart w:id="137" w:name="_Toc413968091"/>
      <w:bookmarkStart w:id="138" w:name="_Toc413968138"/>
      <w:bookmarkStart w:id="139" w:name="_Toc413968185"/>
      <w:bookmarkStart w:id="140" w:name="_Toc413968853"/>
      <w:bookmarkStart w:id="141" w:name="_Toc414048977"/>
      <w:bookmarkStart w:id="142" w:name="_Toc414141111"/>
      <w:bookmarkStart w:id="143" w:name="_Toc414231348"/>
      <w:bookmarkStart w:id="144" w:name="_Toc414261340"/>
      <w:bookmarkStart w:id="145" w:name="_Toc414264047"/>
      <w:bookmarkStart w:id="146" w:name="_Toc414284925"/>
      <w:bookmarkStart w:id="147" w:name="_Toc414285838"/>
      <w:bookmarkStart w:id="148" w:name="_Toc414311901"/>
      <w:bookmarkStart w:id="149" w:name="_Toc414318259"/>
      <w:bookmarkStart w:id="150" w:name="_Toc414320229"/>
      <w:bookmarkStart w:id="151" w:name="_Toc414320874"/>
      <w:bookmarkStart w:id="152" w:name="_Toc267907352"/>
      <w:bookmarkStart w:id="153" w:name="_Toc267907594"/>
      <w:bookmarkStart w:id="154" w:name="_Toc268005910"/>
      <w:bookmarkStart w:id="155" w:name="_Toc268163548"/>
      <w:bookmarkStart w:id="156" w:name="_Toc268185645"/>
      <w:bookmarkStart w:id="157" w:name="_Toc268185695"/>
      <w:bookmarkStart w:id="158" w:name="_Toc268185744"/>
      <w:bookmarkStart w:id="159" w:name="_Toc268169835"/>
      <w:bookmarkStart w:id="160" w:name="_Toc268169886"/>
      <w:bookmarkStart w:id="161" w:name="_Toc268169932"/>
      <w:bookmarkStart w:id="162" w:name="_Toc268169978"/>
      <w:bookmarkStart w:id="163" w:name="_Toc268173082"/>
      <w:bookmarkStart w:id="164" w:name="_Toc268261056"/>
      <w:bookmarkStart w:id="165" w:name="_Toc268264865"/>
      <w:bookmarkStart w:id="166" w:name="_Toc268270231"/>
      <w:bookmarkStart w:id="167" w:name="_Toc268509521"/>
      <w:bookmarkStart w:id="168" w:name="_Toc268510179"/>
      <w:bookmarkStart w:id="169" w:name="_Toc268605611"/>
      <w:bookmarkStart w:id="170" w:name="_Toc268607179"/>
      <w:bookmarkStart w:id="171" w:name="_Toc270666497"/>
      <w:bookmarkStart w:id="172" w:name="_Toc270672100"/>
      <w:bookmarkStart w:id="173" w:name="_Toc270672296"/>
      <w:bookmarkStart w:id="174" w:name="_Toc273436886"/>
      <w:bookmarkStart w:id="175" w:name="_Toc273443295"/>
      <w:bookmarkStart w:id="176" w:name="_Toc273605654"/>
      <w:bookmarkStart w:id="177" w:name="_Toc308612246"/>
      <w:bookmarkStart w:id="178" w:name="_Toc308696911"/>
      <w:bookmarkStart w:id="179" w:name="_Toc386467893"/>
      <w:bookmarkStart w:id="180" w:name="_Toc413705535"/>
      <w:bookmarkStart w:id="181" w:name="_Toc413870322"/>
      <w:bookmarkStart w:id="182" w:name="_Toc413968092"/>
      <w:bookmarkStart w:id="183" w:name="_Toc413968139"/>
      <w:bookmarkStart w:id="184" w:name="_Toc413968186"/>
      <w:bookmarkStart w:id="185" w:name="_Toc413968854"/>
      <w:bookmarkStart w:id="186" w:name="_Toc414048978"/>
      <w:bookmarkStart w:id="187" w:name="_Toc414141112"/>
      <w:bookmarkStart w:id="188" w:name="_Toc414231349"/>
      <w:bookmarkStart w:id="189" w:name="_Toc414261341"/>
      <w:bookmarkStart w:id="190" w:name="_Toc414264048"/>
      <w:bookmarkStart w:id="191" w:name="_Toc414284926"/>
      <w:bookmarkStart w:id="192" w:name="_Toc414285839"/>
      <w:bookmarkStart w:id="193" w:name="_Toc414311902"/>
      <w:bookmarkStart w:id="194" w:name="_Toc414318260"/>
      <w:bookmarkStart w:id="195" w:name="_Toc414320230"/>
      <w:bookmarkStart w:id="196" w:name="_Toc41432087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lastRenderedPageBreak/>
        <w:t>predložením</w:t>
      </w:r>
      <w:r w:rsidR="00E1308D" w:rsidRPr="00BE4C87">
        <w:rPr>
          <w:rFonts w:asciiTheme="minorHAnsi" w:hAnsiTheme="minorHAnsi" w:cstheme="minorHAnsi"/>
          <w:sz w:val="20"/>
          <w:szCs w:val="20"/>
        </w:rPr>
        <w:t xml:space="preserve"> poslednej Následnej monitorovacej správy, s výnimkou povinností súvisiacich s vysporiadaním 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7"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7"/>
    </w:p>
    <w:p w14:paraId="495F4923" w14:textId="0319EBAF"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1D38444C"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 SR</w:t>
      </w:r>
      <w:r w:rsidRPr="00BE4C87">
        <w:rPr>
          <w:rFonts w:asciiTheme="minorHAnsi" w:hAnsiTheme="minorHAnsi" w:cstheme="minorHAnsi"/>
          <w:i/>
          <w:sz w:val="20"/>
        </w:rPr>
        <w:t xml:space="preserve"> (e-mailom alebo telefonicky) a odkonzultoval ďalší postup.</w:t>
      </w:r>
    </w:p>
    <w:p w14:paraId="012B1777" w14:textId="659188F7"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1001F63C"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0DC2B22C"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 SR</w:t>
      </w:r>
      <w:r w:rsidRPr="00BE4C87">
        <w:rPr>
          <w:rFonts w:asciiTheme="minorHAnsi" w:hAnsiTheme="minorHAnsi" w:cstheme="minorHAnsi"/>
          <w:sz w:val="20"/>
        </w:rPr>
        <w:t xml:space="preserve">. </w:t>
      </w:r>
    </w:p>
    <w:p w14:paraId="70810E8B" w14:textId="55553308"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w:t>
      </w:r>
      <w:r w:rsidR="00905315" w:rsidRPr="00BE4C87">
        <w:rPr>
          <w:rFonts w:asciiTheme="minorHAnsi" w:hAnsiTheme="minorHAnsi" w:cstheme="minorHAnsi"/>
          <w:sz w:val="20"/>
        </w:rPr>
        <w:lastRenderedPageBreak/>
        <w:t>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4B992331"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15CF2574"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16F7B555"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46F0FBE0"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3BF0C61D"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49406EF5"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8"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 SR</w:t>
      </w:r>
      <w:r w:rsidRPr="00BE4C87">
        <w:rPr>
          <w:rFonts w:asciiTheme="minorHAnsi" w:hAnsiTheme="minorHAnsi" w:cstheme="minorHAnsi"/>
          <w:bCs/>
          <w:sz w:val="20"/>
        </w:rPr>
        <w:t xml:space="preserve"> o vykonanie rovnakej zmeny projektu za rovnakých skutkových podmienok.</w:t>
      </w:r>
      <w:bookmarkEnd w:id="198"/>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4CB35258"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lastRenderedPageBreak/>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7089CD49"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29423344"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5BFB117C"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199" w:name="_Ref417415206"/>
      <w:r w:rsidRPr="00A81199">
        <w:rPr>
          <w:rFonts w:asciiTheme="minorHAnsi" w:hAnsiTheme="minorHAnsi" w:cstheme="minorHAnsi"/>
          <w:bCs/>
          <w:sz w:val="20"/>
          <w:szCs w:val="20"/>
        </w:rPr>
        <w:t xml:space="preserve">negatívnym spôsobom vplýva na zmenu cieľa alebo účelu projektu </w:t>
      </w:r>
      <w:bookmarkEnd w:id="199"/>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0"/>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8"/>
      <w:r w:rsidRPr="00A81199">
        <w:rPr>
          <w:rFonts w:asciiTheme="minorHAnsi" w:hAnsiTheme="minorHAnsi" w:cstheme="minorHAnsi"/>
          <w:bCs/>
          <w:sz w:val="20"/>
          <w:szCs w:val="20"/>
        </w:rPr>
        <w:t>má negatívny dopad na výsledky procesu výberu projektov</w:t>
      </w:r>
      <w:bookmarkEnd w:id="201"/>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12"/>
      <w:r w:rsidRPr="00A81199">
        <w:rPr>
          <w:rFonts w:asciiTheme="minorHAnsi" w:hAnsiTheme="minorHAnsi" w:cstheme="minorHAnsi"/>
          <w:bCs/>
          <w:sz w:val="20"/>
          <w:szCs w:val="20"/>
        </w:rPr>
        <w:t>spôsobí nedodržanie, resp. dôvodné obavy o dodržanie podmienky udržateľnosti projektu,</w:t>
      </w:r>
      <w:bookmarkEnd w:id="202"/>
    </w:p>
    <w:p w14:paraId="387E4B03" w14:textId="3469BE25"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4F629DF6"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BA90F94"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7DA27898"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3"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3"/>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5AF6DD2E"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lastRenderedPageBreak/>
        <w:t>MD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778F3FB3"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4D102A0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3C8EAE47"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4" w:name="_Toc99449435"/>
      <w:r w:rsidRPr="00BE4C87">
        <w:rPr>
          <w:b w:val="0"/>
        </w:rPr>
        <w:t>Ukončenie zmluvy</w:t>
      </w:r>
      <w:bookmarkEnd w:id="204"/>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71D0E418"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w:t>
      </w:r>
      <w:r w:rsidRPr="003D37DC">
        <w:rPr>
          <w:rFonts w:asciiTheme="minorHAnsi" w:hAnsiTheme="minorHAnsi" w:cstheme="minorHAnsi"/>
          <w:sz w:val="20"/>
        </w:rPr>
        <w:lastRenderedPageBreak/>
        <w:t>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2AF2C901"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2B4F72AB"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5" w:name="_Toc164424692"/>
      <w:bookmarkStart w:id="206" w:name="_Toc182198162"/>
      <w:bookmarkStart w:id="207" w:name="_Toc99449436"/>
      <w:bookmarkEnd w:id="205"/>
      <w:bookmarkEnd w:id="206"/>
      <w:r w:rsidRPr="00BE4C87">
        <w:t>V</w:t>
      </w:r>
      <w:r w:rsidR="00DC0F99" w:rsidRPr="00BE4C87">
        <w:t>erejné obstarávanie</w:t>
      </w:r>
      <w:bookmarkEnd w:id="207"/>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37834E3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78FCE42C"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07A7353A"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7E78A2C1"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63ACD292"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A214F5">
        <w:rPr>
          <w:rFonts w:asciiTheme="minorHAnsi" w:hAnsiTheme="minorHAnsi" w:cstheme="minorHAnsi"/>
          <w:i/>
          <w:sz w:val="20"/>
          <w:szCs w:val="20"/>
        </w:rPr>
        <w:t xml:space="preserve">obstarávania.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w:t>
      </w:r>
      <w:bookmarkStart w:id="208" w:name="_GoBack"/>
      <w:bookmarkEnd w:id="208"/>
      <w:r w:rsidR="00FB5BB3" w:rsidRPr="00BE4C87">
        <w:rPr>
          <w:rFonts w:asciiTheme="minorHAnsi" w:hAnsiTheme="minorHAnsi" w:cstheme="minorHAnsi"/>
          <w:i/>
          <w:sz w:val="20"/>
          <w:szCs w:val="20"/>
        </w:rPr>
        <w:t xml:space="preserve">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00A214F5">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9" w:name="_Toc99449437"/>
      <w:r w:rsidRPr="00BE4C87">
        <w:t>F</w:t>
      </w:r>
      <w:r w:rsidR="00DC0F99" w:rsidRPr="00BE4C87">
        <w:t>inančné riadenie</w:t>
      </w:r>
      <w:bookmarkEnd w:id="209"/>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10" w:name="_Toc414320882"/>
      <w:bookmarkStart w:id="211" w:name="_Toc415007732"/>
      <w:bookmarkStart w:id="212" w:name="_Toc416396446"/>
      <w:bookmarkStart w:id="213" w:name="_Toc419063957"/>
      <w:bookmarkStart w:id="214" w:name="_Toc419358839"/>
      <w:bookmarkStart w:id="215" w:name="_Toc419583152"/>
      <w:bookmarkStart w:id="216" w:name="_Toc446404089"/>
      <w:bookmarkStart w:id="217" w:name="_Toc451862894"/>
      <w:bookmarkStart w:id="218" w:name="_Toc93416846"/>
      <w:bookmarkStart w:id="219" w:name="_Toc93501629"/>
      <w:bookmarkStart w:id="220" w:name="_Toc93502429"/>
      <w:bookmarkStart w:id="221" w:name="_Toc98504264"/>
      <w:bookmarkStart w:id="222" w:name="_Toc98504378"/>
      <w:bookmarkStart w:id="223" w:name="_Toc99449266"/>
      <w:bookmarkStart w:id="224" w:name="_Toc99449438"/>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5" w:name="_Toc414320883"/>
      <w:bookmarkStart w:id="226" w:name="_Toc415007733"/>
      <w:bookmarkStart w:id="227" w:name="_Toc416396447"/>
      <w:bookmarkStart w:id="228" w:name="_Toc419063958"/>
      <w:bookmarkStart w:id="229" w:name="_Toc419358840"/>
      <w:bookmarkStart w:id="230" w:name="_Toc419583153"/>
      <w:bookmarkStart w:id="231" w:name="_Toc446404090"/>
      <w:bookmarkStart w:id="232" w:name="_Toc451862895"/>
      <w:bookmarkStart w:id="233" w:name="_Toc93416847"/>
      <w:bookmarkStart w:id="234" w:name="_Toc93501630"/>
      <w:bookmarkStart w:id="235" w:name="_Toc93502430"/>
      <w:bookmarkStart w:id="236" w:name="_Toc98504265"/>
      <w:bookmarkStart w:id="237" w:name="_Toc98504379"/>
      <w:bookmarkStart w:id="238" w:name="_Toc99449267"/>
      <w:bookmarkStart w:id="239" w:name="_Toc9944943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0D5DF3E" w14:textId="77777777" w:rsidR="001E1830" w:rsidRPr="00BE4C87" w:rsidRDefault="001E1830" w:rsidP="00B66B70">
      <w:pPr>
        <w:pStyle w:val="Nadpis2"/>
        <w:keepNext w:val="0"/>
        <w:widowControl w:val="0"/>
        <w:rPr>
          <w:b w:val="0"/>
        </w:rPr>
      </w:pPr>
      <w:bookmarkStart w:id="240" w:name="_Toc99449440"/>
      <w:r w:rsidRPr="00BE4C87">
        <w:rPr>
          <w:b w:val="0"/>
        </w:rPr>
        <w:t>Vedenie účtovníctva</w:t>
      </w:r>
      <w:bookmarkEnd w:id="240"/>
    </w:p>
    <w:p w14:paraId="17E2208C" w14:textId="63BB9115"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431/2002 Z. z. o účtovníctve v znení neskorších predpisov, je prijímateľ povinný viesť samostatný účtovný systém alebo vhodnú analytickú evidenciu účtov pre všetky transakcie súvisiace s</w:t>
      </w:r>
      <w:r w:rsidR="00D46BE4">
        <w:rPr>
          <w:rFonts w:asciiTheme="minorHAnsi" w:hAnsiTheme="minorHAnsi" w:cstheme="minorHAnsi"/>
          <w:sz w:val="20"/>
          <w:szCs w:val="20"/>
        </w:rPr>
        <w:t> </w:t>
      </w:r>
      <w:r w:rsidRPr="00BE4C87">
        <w:rPr>
          <w:rFonts w:asciiTheme="minorHAnsi" w:hAnsiTheme="minorHAnsi" w:cstheme="minorHAnsi"/>
          <w:sz w:val="20"/>
          <w:szCs w:val="20"/>
        </w:rPr>
        <w:t>projektom</w:t>
      </w:r>
      <w:r w:rsidR="00D46BE4">
        <w:rPr>
          <w:rFonts w:asciiTheme="minorHAnsi" w:hAnsiTheme="minorHAnsi" w:cstheme="minorHAnsi"/>
          <w:sz w:val="20"/>
          <w:szCs w:val="20"/>
        </w:rPr>
        <w:t xml:space="preserve">. </w:t>
      </w:r>
      <w:r w:rsidR="00D46BE4" w:rsidRPr="00D46BE4">
        <w:rPr>
          <w:rFonts w:asciiTheme="minorHAnsi" w:hAnsiTheme="minorHAnsi" w:cstheme="minorHAnsi"/>
          <w:sz w:val="20"/>
          <w:szCs w:val="20"/>
        </w:rPr>
        <w:t xml:space="preserve">Prostriedky mechanizmu určené na implementáciu konkrétnych opatrení v </w:t>
      </w:r>
      <w:r w:rsidR="00D46BE4">
        <w:rPr>
          <w:rFonts w:asciiTheme="minorHAnsi" w:hAnsiTheme="minorHAnsi" w:cstheme="minorHAnsi"/>
          <w:sz w:val="20"/>
          <w:szCs w:val="20"/>
        </w:rPr>
        <w:t>relevantných prípadoch vedie Prijímateľ</w:t>
      </w:r>
      <w:r w:rsidR="00D46BE4" w:rsidRPr="00D46BE4">
        <w:rPr>
          <w:rFonts w:asciiTheme="minorHAnsi" w:hAnsiTheme="minorHAnsi" w:cstheme="minorHAnsi"/>
          <w:sz w:val="20"/>
          <w:szCs w:val="20"/>
        </w:rPr>
        <w:t xml:space="preserve"> v účtovníctve v analytickej evidencii</w:t>
      </w:r>
      <w:r w:rsidR="00D46BE4" w:rsidRPr="00D46BE4">
        <w:t xml:space="preserve"> </w:t>
      </w:r>
      <w:r w:rsidR="00D46BE4" w:rsidRPr="00D46BE4">
        <w:rPr>
          <w:rFonts w:asciiTheme="minorHAnsi" w:hAnsiTheme="minorHAnsi" w:cstheme="minorHAnsi"/>
          <w:sz w:val="20"/>
          <w:szCs w:val="20"/>
        </w:rPr>
        <w:t>alebo v prípade jednoduchého účtovníctva alebo inej evidencie majetku a záväzko</w:t>
      </w:r>
      <w:r w:rsidR="00D46BE4">
        <w:rPr>
          <w:rFonts w:asciiTheme="minorHAnsi" w:hAnsiTheme="minorHAnsi" w:cstheme="minorHAnsi"/>
          <w:sz w:val="20"/>
          <w:szCs w:val="20"/>
        </w:rPr>
        <w:t>v a príjmov a výdavkov je povinný využívať</w:t>
      </w:r>
      <w:r w:rsidR="00D46BE4" w:rsidRPr="00D46BE4">
        <w:rPr>
          <w:rFonts w:asciiTheme="minorHAnsi" w:hAnsiTheme="minorHAnsi" w:cstheme="minorHAnsi"/>
          <w:sz w:val="20"/>
          <w:szCs w:val="20"/>
        </w:rPr>
        <w:t xml:space="preserve"> slovné a číselné označovanie projektu pri zápisoch</w:t>
      </w:r>
      <w:r w:rsidRPr="00BE4C87">
        <w:rPr>
          <w:rFonts w:asciiTheme="minorHAnsi" w:hAnsiTheme="minorHAnsi" w:cstheme="minorHAnsi"/>
          <w:sz w:val="20"/>
          <w:szCs w:val="20"/>
        </w:rPr>
        <w:t xml:space="preserve">.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1" w:name="_Toc99449441"/>
      <w:r w:rsidRPr="00BE4C87">
        <w:rPr>
          <w:b w:val="0"/>
          <w:iCs/>
        </w:rPr>
        <w:t>Oprávnenosť výdavkov</w:t>
      </w:r>
      <w:bookmarkEnd w:id="241"/>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 xml:space="preserve">Vykonávateľ je </w:t>
      </w:r>
      <w:r w:rsidR="00B76B6A" w:rsidRPr="00B76B6A">
        <w:rPr>
          <w:rFonts w:asciiTheme="minorHAnsi" w:hAnsiTheme="minorHAnsi" w:cs="Arial"/>
          <w:sz w:val="20"/>
        </w:rPr>
        <w:lastRenderedPageBreak/>
        <w:t>povinný pri používaní a poskytovaní prostriedkov mechanizmu dodržať a zabezpečiť dodržiavanie všetkých 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2" w:name="_Toc88128746"/>
      <w:bookmarkStart w:id="243" w:name="_Toc91062077"/>
      <w:r w:rsidRPr="00B76B6A">
        <w:rPr>
          <w:rFonts w:asciiTheme="minorHAnsi" w:hAnsiTheme="minorHAnsi" w:cs="Arial"/>
          <w:b/>
          <w:sz w:val="20"/>
        </w:rPr>
        <w:t>Podmienky vecnej oprávnenosti</w:t>
      </w:r>
      <w:bookmarkEnd w:id="242"/>
      <w:bookmarkEnd w:id="243"/>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4" w:name="_Toc88128747"/>
      <w:bookmarkStart w:id="245" w:name="_Toc91062078"/>
      <w:r w:rsidRPr="00B76B6A">
        <w:rPr>
          <w:rFonts w:asciiTheme="minorHAnsi" w:hAnsiTheme="minorHAnsi" w:cs="Arial"/>
          <w:b/>
          <w:sz w:val="20"/>
        </w:rPr>
        <w:t>Podmienky časovej oprávnenosti</w:t>
      </w:r>
      <w:bookmarkEnd w:id="244"/>
      <w:bookmarkEnd w:id="245"/>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obstarávanie, posúdenie vplyvov na životné prostredie, stavebné povolenia a pod. mohli byť realizované aj pred </w:t>
      </w:r>
      <w:r w:rsidRPr="00B76B6A">
        <w:rPr>
          <w:rFonts w:asciiTheme="minorHAnsi" w:hAnsiTheme="minorHAnsi" w:cs="Arial"/>
          <w:sz w:val="20"/>
        </w:rPr>
        <w:lastRenderedPageBreak/>
        <w:t xml:space="preserve">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6" w:name="_Toc88128748"/>
      <w:bookmarkStart w:id="247" w:name="_Toc91062079"/>
      <w:r w:rsidRPr="00B76B6A">
        <w:rPr>
          <w:rFonts w:asciiTheme="minorHAnsi" w:hAnsiTheme="minorHAnsi" w:cs="Arial"/>
          <w:b/>
          <w:sz w:val="20"/>
        </w:rPr>
        <w:t>Oprávnenosť DPH</w:t>
      </w:r>
      <w:bookmarkEnd w:id="246"/>
      <w:bookmarkEnd w:id="247"/>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8" w:name="_Toc88128749"/>
      <w:bookmarkStart w:id="249" w:name="_Toc91062080"/>
      <w:r w:rsidRPr="00B76B6A">
        <w:rPr>
          <w:rFonts w:asciiTheme="minorHAnsi" w:hAnsiTheme="minorHAnsi" w:cs="Arial"/>
          <w:b/>
          <w:sz w:val="20"/>
        </w:rPr>
        <w:t>Vylúčenie dvojitého financovania</w:t>
      </w:r>
      <w:bookmarkEnd w:id="248"/>
      <w:r w:rsidRPr="00B76B6A">
        <w:rPr>
          <w:rFonts w:asciiTheme="minorHAnsi" w:hAnsiTheme="minorHAnsi" w:cs="Arial"/>
          <w:b/>
          <w:sz w:val="20"/>
          <w:vertAlign w:val="superscript"/>
        </w:rPr>
        <w:footnoteReference w:id="7"/>
      </w:r>
      <w:bookmarkEnd w:id="249"/>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0C556374" w14:textId="77777777" w:rsidR="00E60BD1" w:rsidRPr="00E60BD1" w:rsidRDefault="00E60BD1" w:rsidP="00E60BD1">
      <w:pPr>
        <w:jc w:val="both"/>
        <w:rPr>
          <w:rFonts w:asciiTheme="minorHAnsi" w:hAnsiTheme="minorHAnsi" w:cs="Arial"/>
          <w:sz w:val="20"/>
        </w:rPr>
      </w:pPr>
      <w:r w:rsidRPr="00E60BD1">
        <w:rPr>
          <w:rFonts w:asciiTheme="minorHAnsi" w:hAnsiTheme="minorHAnsi" w:cs="Arial"/>
          <w:sz w:val="20"/>
        </w:rPr>
        <w:t xml:space="preserve">Dvojitým financovaním sa rozumie aj situácia, ak sa k výsledku daného opatrenia alebo jeho časti (projekt) dospeje nielen použitím prostriedkov mechanizmu, ale aj využitím iných zdrojov z rozpočtu EÚ, pričom takéto použitie nebolo vopred indikované EK v rámci Plánu obnovy a zohľadnené v nákladovom ohodnotení príslušnej investície alebo reformy. Zároveň sa za dvojité financovanie môže považovať aj situácia, ak výsledok danej operácie (bez ohľadu na spôsob preukazovania zrealizovania opatrenia) je vykazovaný EK v rámci rôznych nástrojov podpory.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0" w:name="_Toc88128751"/>
      <w:bookmarkStart w:id="251" w:name="_Toc91062082"/>
      <w:r w:rsidRPr="00B76B6A">
        <w:rPr>
          <w:rFonts w:asciiTheme="minorHAnsi" w:hAnsiTheme="minorHAnsi" w:cs="Arial"/>
          <w:b/>
          <w:sz w:val="20"/>
        </w:rPr>
        <w:t>Dodržanie princípu „výrazne nenarušiť“</w:t>
      </w:r>
      <w:bookmarkEnd w:id="250"/>
      <w:bookmarkEnd w:id="251"/>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xml:space="preserve">. V tomto ustanovení sa vymedzuje, čo predstavuje „výrazné narušenie“ plnenia šiestich environmentálnych cieľov. Predmetným nariadením sa stanovujú kritériá na určenie toho, či sa hospodárska </w:t>
      </w:r>
      <w:r w:rsidRPr="00B76B6A">
        <w:rPr>
          <w:rFonts w:asciiTheme="minorHAnsi" w:hAnsiTheme="minorHAnsi" w:cs="Arial"/>
          <w:sz w:val="20"/>
        </w:rPr>
        <w:lastRenderedPageBreak/>
        <w:t>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2" w:name="_Toc88128754"/>
      <w:bookmarkStart w:id="253" w:name="_Toc91062084"/>
      <w:r w:rsidRPr="00B76B6A">
        <w:rPr>
          <w:rFonts w:asciiTheme="minorHAnsi" w:hAnsiTheme="minorHAnsi" w:cs="Arial"/>
          <w:b/>
          <w:sz w:val="20"/>
        </w:rPr>
        <w:t>Štátna pomoc</w:t>
      </w:r>
      <w:bookmarkEnd w:id="252"/>
      <w:bookmarkEnd w:id="253"/>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w:t>
      </w:r>
      <w:r w:rsidRPr="00B76B6A">
        <w:rPr>
          <w:rFonts w:asciiTheme="minorHAnsi" w:hAnsiTheme="minorHAnsi" w:cs="Arial"/>
          <w:sz w:val="20"/>
        </w:rPr>
        <w:lastRenderedPageBreak/>
        <w:t xml:space="preserve">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2564085F"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4" w:name="_Toc99449442"/>
      <w:bookmarkStart w:id="255" w:name="_Toc7078326"/>
      <w:r>
        <w:t>Spôsob</w:t>
      </w:r>
      <w:r w:rsidR="00AD4730">
        <w:t xml:space="preserve"> dokladovania výdavkov</w:t>
      </w:r>
      <w:bookmarkEnd w:id="254"/>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lastRenderedPageBreak/>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lastRenderedPageBreak/>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5"/>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6" w:name="_Toc7078329"/>
      <w:r w:rsidRPr="00B64A52">
        <w:rPr>
          <w:rFonts w:asciiTheme="minorHAnsi" w:hAnsiTheme="minorHAnsi" w:cs="Arial"/>
          <w:b/>
          <w:sz w:val="20"/>
          <w:lang w:val="x-none"/>
        </w:rPr>
        <w:t>Osobné výdavky a cestovné náhrady</w:t>
      </w:r>
      <w:bookmarkEnd w:id="256"/>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3A17FA9E" w14:textId="58AADBB6"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r w:rsidR="006A574C">
        <w:rPr>
          <w:rFonts w:asciiTheme="minorHAnsi" w:hAnsiTheme="minorHAnsi" w:cs="Arial"/>
          <w:bCs/>
          <w:sz w:val="20"/>
        </w:rPr>
        <w:t>, ktorá je naďalej riadne uchovávaná vecne príslušným organizačným útvarom vykonávateľa ako samostatná príloha, podporná dokumentácia sa k ŽoP neprikladá</w:t>
      </w:r>
      <w:r w:rsidRPr="007B6333">
        <w:rPr>
          <w:rFonts w:asciiTheme="minorHAnsi" w:hAnsiTheme="minorHAnsi" w:cs="Arial"/>
          <w:bCs/>
          <w:sz w:val="20"/>
        </w:rPr>
        <w:t>:</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lastRenderedPageBreak/>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7"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7"/>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xml:space="preserve">, ktorý vecne a časovo </w:t>
      </w:r>
      <w:r w:rsidRPr="007B6333">
        <w:rPr>
          <w:rFonts w:asciiTheme="minorHAnsi" w:hAnsiTheme="minorHAnsi" w:cs="Arial"/>
          <w:sz w:val="20"/>
        </w:rPr>
        <w:lastRenderedPageBreak/>
        <w:t>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8" w:name="_Toc99449443"/>
      <w:r w:rsidRPr="00BE4C87">
        <w:rPr>
          <w:b w:val="0"/>
        </w:rPr>
        <w:t>Postupy pri žiadostiach o platbu/platby</w:t>
      </w:r>
      <w:bookmarkEnd w:id="258"/>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1466A5F1"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123F8C84"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1DD23725"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7"/>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50CE63B4"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 xml:space="preserve"> </w:t>
      </w:r>
      <w:r w:rsidR="00942028" w:rsidRPr="00942028">
        <w:rPr>
          <w:rFonts w:asciiTheme="minorHAnsi" w:hAnsiTheme="minorHAnsi" w:cstheme="minorHAnsi"/>
          <w:sz w:val="20"/>
          <w:szCs w:val="20"/>
        </w:rPr>
        <w:t xml:space="preserve">v tomto prípade obsahuje </w:t>
      </w:r>
      <w:r w:rsidRPr="00F61F86">
        <w:rPr>
          <w:rFonts w:asciiTheme="minorHAnsi" w:hAnsiTheme="minorHAnsi" w:cstheme="minorHAnsi"/>
          <w:sz w:val="20"/>
          <w:szCs w:val="20"/>
        </w:rPr>
        <w:t xml:space="preserve">všetky údaje ako v žiadosti o platbu. </w:t>
      </w:r>
      <w:r w:rsidR="00E60BD1" w:rsidRPr="00E60BD1">
        <w:rPr>
          <w:rFonts w:asciiTheme="minorHAnsi" w:hAnsiTheme="minorHAnsi" w:cstheme="minorHAnsi"/>
          <w:sz w:val="20"/>
          <w:szCs w:val="20"/>
        </w:rPr>
        <w:t>Zmluva o poskytnutí prostriedkov mechanizmu musí obsahovať samostatnú prílohu s údajmi požadovanými v žiadosti o platbu</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lastRenderedPageBreak/>
        <w:t>lehota</w:t>
      </w:r>
      <w:r w:rsidR="00D54856">
        <w:rPr>
          <w:rStyle w:val="Odkaznapoznmkupodiarou"/>
          <w:rFonts w:asciiTheme="minorHAnsi" w:hAnsiTheme="minorHAnsi"/>
          <w:sz w:val="20"/>
          <w:szCs w:val="20"/>
        </w:rPr>
        <w:footnoteReference w:id="28"/>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42BD30AB" w14:textId="46146376" w:rsidR="00142EDC" w:rsidRPr="00142EDC" w:rsidRDefault="00142EDC" w:rsidP="00B66B70">
      <w:pPr>
        <w:widowControl w:val="0"/>
        <w:spacing w:line="276" w:lineRule="auto"/>
        <w:jc w:val="both"/>
        <w:rPr>
          <w:rFonts w:asciiTheme="minorHAnsi" w:hAnsiTheme="minorHAnsi" w:cstheme="minorHAnsi"/>
          <w:sz w:val="20"/>
          <w:szCs w:val="20"/>
        </w:rPr>
      </w:pPr>
    </w:p>
    <w:p w14:paraId="26B8031A" w14:textId="2F535F26" w:rsidR="00DF7F0B" w:rsidRDefault="00F61F86" w:rsidP="00B66B70">
      <w:pPr>
        <w:widowControl w:val="0"/>
        <w:spacing w:line="276" w:lineRule="auto"/>
        <w:jc w:val="both"/>
        <w:rPr>
          <w:rFonts w:asciiTheme="minorHAnsi" w:hAnsiTheme="minorHAnsi" w:cstheme="minorHAnsi"/>
          <w:sz w:val="20"/>
          <w:szCs w:val="20"/>
        </w:rPr>
      </w:pPr>
      <w:r w:rsidRPr="00F61F86">
        <w:rPr>
          <w:rFonts w:asciiTheme="minorHAnsi" w:hAnsiTheme="minorHAnsi" w:cstheme="minorHAnsi"/>
          <w:sz w:val="20"/>
          <w:szCs w:val="20"/>
        </w:rPr>
        <w:t xml:space="preserve">Ak je prijímateľ osobou povinnou postupovať pri zadávaní zákazky podľa pravidiel verejného obstarávania v súlade s právom Únie alebo zákonom o verejnom obstarávaní, prijímateľ poskytne vykonávateľovi vo formulári žiadosti o platbu (najmä poskytnutie predfinancovania, zúčtovanie zálohovej platby alebo priebežná platba) okrem názvu </w:t>
      </w:r>
      <w:r w:rsidR="00942028" w:rsidRPr="00942028">
        <w:rPr>
          <w:rFonts w:asciiTheme="minorHAnsi" w:hAnsiTheme="minorHAnsi" w:cstheme="minorHAnsi"/>
          <w:sz w:val="20"/>
          <w:szCs w:val="20"/>
        </w:rPr>
        <w:t xml:space="preserve">a identifikačného čísla (IČO) </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64E2EF75"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0B6F46C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w:t>
      </w:r>
      <w:r w:rsidR="00DD5AB0">
        <w:rPr>
          <w:rFonts w:asciiTheme="minorHAnsi" w:hAnsiTheme="minorHAnsi" w:cstheme="minorHAnsi"/>
          <w:sz w:val="20"/>
          <w:szCs w:val="20"/>
        </w:rPr>
        <w:t xml:space="preserve">kapitoly MD SR </w:t>
      </w:r>
      <w:r w:rsidRPr="00DF7F0B">
        <w:rPr>
          <w:rFonts w:asciiTheme="minorHAnsi" w:hAnsiTheme="minorHAnsi" w:cstheme="minorHAnsi"/>
          <w:sz w:val="20"/>
          <w:szCs w:val="20"/>
        </w:rPr>
        <w:t xml:space="preserve">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štátna rozpočtová organizácia, </w:t>
      </w:r>
    </w:p>
    <w:p w14:paraId="4D1F43FC" w14:textId="77777777" w:rsidR="00C8224C" w:rsidRDefault="00DF7F0B" w:rsidP="00C8224C">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0F8C419B" w14:textId="05D36CF8" w:rsidR="00C8224C" w:rsidRPr="00C8224C" w:rsidRDefault="00C8224C" w:rsidP="00C8224C">
      <w:pPr>
        <w:widowControl w:val="0"/>
        <w:spacing w:line="276" w:lineRule="auto"/>
        <w:ind w:left="284"/>
        <w:jc w:val="both"/>
        <w:rPr>
          <w:rFonts w:asciiTheme="minorHAnsi" w:hAnsiTheme="minorHAnsi" w:cstheme="minorHAnsi"/>
          <w:sz w:val="20"/>
          <w:szCs w:val="20"/>
        </w:rPr>
      </w:pPr>
      <w:r w:rsidRPr="00C8224C">
        <w:rPr>
          <w:rFonts w:asciiTheme="minorHAnsi" w:hAnsiTheme="minorHAnsi" w:cstheme="minorHAnsi"/>
          <w:sz w:val="20"/>
          <w:szCs w:val="20"/>
        </w:rPr>
        <w:t>Vykonávateľ je povinný platbu, v závislosti od záverov finančnej kontroly, prijímateľovi vyplatiť bezodkladne</w:t>
      </w:r>
      <w:r>
        <w:rPr>
          <w:rFonts w:asciiTheme="minorHAnsi" w:hAnsiTheme="minorHAnsi" w:cstheme="minorHAnsi"/>
          <w:sz w:val="20"/>
          <w:szCs w:val="20"/>
        </w:rPr>
        <w:t xml:space="preserve">. </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42F7E628"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w:t>
      </w:r>
      <w:r w:rsidR="000D08F0">
        <w:rPr>
          <w:rFonts w:asciiTheme="minorHAnsi" w:hAnsiTheme="minorHAnsi" w:cstheme="minorHAnsi"/>
          <w:sz w:val="20"/>
          <w:szCs w:val="20"/>
        </w:rPr>
        <w:t xml:space="preserve">vykonávateľovi. </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22A60E78" w14:textId="77777777" w:rsidR="00DD5AB0" w:rsidRDefault="00654153" w:rsidP="00DD5AB0">
      <w:pPr>
        <w:widowControl w:val="0"/>
        <w:spacing w:line="276" w:lineRule="auto"/>
        <w:jc w:val="both"/>
        <w:rPr>
          <w:rFonts w:asciiTheme="minorHAnsi" w:hAnsiTheme="minorHAnsi" w:cstheme="minorHAnsi"/>
          <w: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r w:rsidR="00DD5AB0">
        <w:rPr>
          <w:rFonts w:asciiTheme="minorHAnsi" w:hAnsiTheme="minorHAnsi" w:cstheme="minorHAnsi"/>
          <w:sz w:val="20"/>
          <w:szCs w:val="20"/>
        </w:rPr>
        <w:t>Prijímateľ je povinný Žiadosť o platbu označiť kódom</w:t>
      </w:r>
      <w:r w:rsidR="00DD5AB0">
        <w:rPr>
          <w:rStyle w:val="Odkaznapoznmkupodiarou"/>
          <w:rFonts w:asciiTheme="minorHAnsi" w:hAnsiTheme="minorHAnsi"/>
          <w:sz w:val="20"/>
          <w:szCs w:val="20"/>
        </w:rPr>
        <w:footnoteReference w:id="31"/>
      </w:r>
      <w:r w:rsidR="00DD5AB0">
        <w:rPr>
          <w:rFonts w:asciiTheme="minorHAnsi" w:hAnsiTheme="minorHAnsi" w:cstheme="minorHAnsi"/>
          <w:sz w:val="20"/>
          <w:szCs w:val="20"/>
        </w:rPr>
        <w:t>, ktorý uvádza v kolónke „Číslo žiadosti o platbu“, v nasledovnom tvare „</w:t>
      </w:r>
      <w:r w:rsidR="00DD5AB0" w:rsidRPr="00114F1E">
        <w:rPr>
          <w:rFonts w:asciiTheme="minorHAnsi" w:hAnsiTheme="minorHAnsi" w:cstheme="minorHAnsi"/>
          <w:i/>
          <w:sz w:val="20"/>
          <w:szCs w:val="20"/>
        </w:rPr>
        <w:t>XY-29-E00-0000x-1-000x</w:t>
      </w:r>
      <w:r w:rsidR="00DD5AB0">
        <w:rPr>
          <w:rFonts w:asciiTheme="minorHAnsi" w:hAnsiTheme="minorHAnsi" w:cstheme="minorHAnsi"/>
          <w:i/>
          <w:sz w:val="20"/>
          <w:szCs w:val="20"/>
        </w:rPr>
        <w:t xml:space="preserve">“, </w:t>
      </w:r>
      <w:r w:rsidR="00DD5AB0" w:rsidRPr="00142EDC">
        <w:rPr>
          <w:rFonts w:asciiTheme="minorHAnsi" w:hAnsiTheme="minorHAnsi" w:cstheme="minorHAnsi"/>
          <w:sz w:val="20"/>
          <w:szCs w:val="20"/>
        </w:rPr>
        <w:t>pričom</w:t>
      </w:r>
      <w:r w:rsidR="00DD5AB0">
        <w:rPr>
          <w:rFonts w:asciiTheme="minorHAnsi" w:hAnsiTheme="minorHAnsi" w:cstheme="minorHAnsi"/>
          <w:sz w:val="20"/>
          <w:szCs w:val="20"/>
        </w:rPr>
        <w:t xml:space="preserve"> platí</w:t>
      </w:r>
      <w:r w:rsidR="00DD5AB0" w:rsidRPr="00142EDC">
        <w:rPr>
          <w:rFonts w:asciiTheme="minorHAnsi" w:hAnsiTheme="minorHAnsi" w:cstheme="minorHAnsi"/>
          <w:sz w:val="20"/>
          <w:szCs w:val="20"/>
        </w:rPr>
        <w:t>:</w:t>
      </w:r>
      <w:r w:rsidR="00DD5AB0">
        <w:rPr>
          <w:rFonts w:asciiTheme="minorHAnsi" w:hAnsiTheme="minorHAnsi" w:cstheme="minorHAnsi"/>
          <w:i/>
          <w:sz w:val="20"/>
          <w:szCs w:val="20"/>
        </w:rPr>
        <w:t xml:space="preserve"> </w:t>
      </w:r>
    </w:p>
    <w:p w14:paraId="5785E390" w14:textId="77777777" w:rsidR="00DD5AB0" w:rsidRDefault="00DD5AB0" w:rsidP="00DD5AB0">
      <w:pPr>
        <w:widowControl w:val="0"/>
        <w:spacing w:line="276" w:lineRule="auto"/>
        <w:jc w:val="both"/>
        <w:rPr>
          <w:rFonts w:asciiTheme="minorHAnsi" w:hAnsiTheme="minorHAnsi" w:cstheme="minorHAnsi"/>
          <w:sz w:val="20"/>
          <w:szCs w:val="20"/>
        </w:rPr>
      </w:pPr>
    </w:p>
    <w:p w14:paraId="46780093" w14:textId="77777777" w:rsidR="00DD5AB0" w:rsidRPr="00142EDC" w:rsidRDefault="00DD5AB0" w:rsidP="00DD5AB0">
      <w:pPr>
        <w:pStyle w:val="Odsekzoznamu"/>
        <w:numPr>
          <w:ilvl w:val="0"/>
          <w:numId w:val="94"/>
        </w:numPr>
        <w:contextualSpacing/>
        <w:rPr>
          <w:rFonts w:asciiTheme="minorHAnsi" w:hAnsiTheme="minorHAnsi" w:cstheme="minorHAnsi"/>
          <w:sz w:val="20"/>
          <w:szCs w:val="20"/>
        </w:rPr>
      </w:pPr>
      <w:r w:rsidRPr="00142EDC">
        <w:rPr>
          <w:rFonts w:asciiTheme="minorHAnsi" w:hAnsiTheme="minorHAnsi" w:cstheme="minorHAnsi"/>
          <w:sz w:val="20"/>
          <w:szCs w:val="20"/>
        </w:rPr>
        <w:t xml:space="preserve">XY – </w:t>
      </w:r>
      <w:r>
        <w:rPr>
          <w:rFonts w:asciiTheme="minorHAnsi" w:hAnsiTheme="minorHAnsi" w:cstheme="minorHAnsi"/>
          <w:sz w:val="20"/>
          <w:szCs w:val="20"/>
        </w:rPr>
        <w:t xml:space="preserve">označenie </w:t>
      </w:r>
      <w:r w:rsidRPr="00142EDC">
        <w:rPr>
          <w:rFonts w:asciiTheme="minorHAnsi" w:hAnsiTheme="minorHAnsi" w:cstheme="minorHAnsi"/>
          <w:sz w:val="20"/>
          <w:szCs w:val="20"/>
        </w:rPr>
        <w:t>č</w:t>
      </w:r>
      <w:r>
        <w:rPr>
          <w:rFonts w:asciiTheme="minorHAnsi" w:hAnsiTheme="minorHAnsi" w:cstheme="minorHAnsi"/>
          <w:sz w:val="20"/>
          <w:szCs w:val="20"/>
        </w:rPr>
        <w:t>ísla</w:t>
      </w:r>
      <w:r w:rsidRPr="00142EDC">
        <w:rPr>
          <w:rFonts w:asciiTheme="minorHAnsi" w:hAnsiTheme="minorHAnsi" w:cstheme="minorHAnsi"/>
          <w:sz w:val="20"/>
          <w:szCs w:val="20"/>
        </w:rPr>
        <w:t xml:space="preserve"> Komponentu/Investície</w:t>
      </w:r>
    </w:p>
    <w:p w14:paraId="04BAEB83" w14:textId="77777777" w:rsidR="00DD5AB0" w:rsidRPr="00142EDC" w:rsidRDefault="00DD5AB0" w:rsidP="00DD5AB0">
      <w:pPr>
        <w:pStyle w:val="Odsekzoznamu"/>
        <w:numPr>
          <w:ilvl w:val="0"/>
          <w:numId w:val="94"/>
        </w:numPr>
        <w:contextualSpacing/>
        <w:rPr>
          <w:rFonts w:asciiTheme="minorHAnsi" w:hAnsiTheme="minorHAnsi" w:cstheme="minorHAnsi"/>
          <w:sz w:val="20"/>
          <w:szCs w:val="20"/>
        </w:rPr>
      </w:pPr>
      <w:r w:rsidRPr="00142EDC">
        <w:rPr>
          <w:rFonts w:asciiTheme="minorHAnsi" w:hAnsiTheme="minorHAnsi" w:cstheme="minorHAnsi"/>
          <w:sz w:val="20"/>
          <w:szCs w:val="20"/>
        </w:rPr>
        <w:t xml:space="preserve">29  - označenie vykonávateľa MD SR </w:t>
      </w:r>
    </w:p>
    <w:p w14:paraId="11E9A77B" w14:textId="77777777" w:rsidR="00DD5AB0" w:rsidRPr="00142EDC" w:rsidRDefault="00DD5AB0" w:rsidP="00DD5AB0">
      <w:pPr>
        <w:pStyle w:val="Odsekzoznamu"/>
        <w:numPr>
          <w:ilvl w:val="0"/>
          <w:numId w:val="94"/>
        </w:numPr>
        <w:contextualSpacing/>
        <w:rPr>
          <w:rFonts w:asciiTheme="minorHAnsi" w:hAnsiTheme="minorHAnsi" w:cstheme="minorHAnsi"/>
          <w:sz w:val="20"/>
          <w:szCs w:val="20"/>
        </w:rPr>
      </w:pPr>
      <w:r w:rsidRPr="00142EDC">
        <w:rPr>
          <w:rFonts w:asciiTheme="minorHAnsi" w:hAnsiTheme="minorHAnsi" w:cstheme="minorHAnsi"/>
          <w:sz w:val="20"/>
          <w:szCs w:val="20"/>
        </w:rPr>
        <w:t xml:space="preserve">E00 - evidencia investície  </w:t>
      </w:r>
    </w:p>
    <w:p w14:paraId="4BCAD793" w14:textId="77777777" w:rsidR="00DD5AB0" w:rsidRPr="00142EDC" w:rsidRDefault="00DD5AB0" w:rsidP="00DD5AB0">
      <w:pPr>
        <w:pStyle w:val="Odsekzoznamu"/>
        <w:numPr>
          <w:ilvl w:val="0"/>
          <w:numId w:val="94"/>
        </w:numPr>
        <w:contextualSpacing/>
        <w:rPr>
          <w:rFonts w:asciiTheme="minorHAnsi" w:hAnsiTheme="minorHAnsi" w:cstheme="minorHAnsi"/>
          <w:sz w:val="20"/>
          <w:szCs w:val="20"/>
        </w:rPr>
      </w:pPr>
      <w:r w:rsidRPr="00142EDC">
        <w:rPr>
          <w:rFonts w:asciiTheme="minorHAnsi" w:hAnsiTheme="minorHAnsi" w:cstheme="minorHAnsi"/>
          <w:sz w:val="20"/>
          <w:szCs w:val="20"/>
        </w:rPr>
        <w:t xml:space="preserve">0000x - </w:t>
      </w:r>
      <w:r>
        <w:rPr>
          <w:rFonts w:asciiTheme="minorHAnsi" w:hAnsiTheme="minorHAnsi" w:cstheme="minorHAnsi"/>
          <w:sz w:val="20"/>
          <w:szCs w:val="20"/>
        </w:rPr>
        <w:t>označenie určené vykonávateľom MD SR,</w:t>
      </w:r>
      <w:r w:rsidRPr="00142EDC">
        <w:rPr>
          <w:rFonts w:asciiTheme="minorHAnsi" w:hAnsiTheme="minorHAnsi" w:cstheme="minorHAnsi"/>
          <w:sz w:val="20"/>
          <w:szCs w:val="20"/>
        </w:rPr>
        <w:t xml:space="preserve"> pričom</w:t>
      </w:r>
    </w:p>
    <w:p w14:paraId="3FBCFD97" w14:textId="77777777" w:rsidR="00DD5AB0" w:rsidRPr="00142EDC" w:rsidRDefault="00DD5AB0" w:rsidP="00DD5AB0">
      <w:pPr>
        <w:pStyle w:val="Odsekzoznamu"/>
        <w:numPr>
          <w:ilvl w:val="0"/>
          <w:numId w:val="93"/>
        </w:numPr>
        <w:ind w:left="851" w:hanging="142"/>
        <w:rPr>
          <w:rFonts w:asciiTheme="minorHAnsi" w:hAnsiTheme="minorHAnsi" w:cstheme="minorHAnsi"/>
          <w:sz w:val="20"/>
          <w:szCs w:val="20"/>
        </w:rPr>
      </w:pPr>
      <w:r w:rsidRPr="00142EDC">
        <w:rPr>
          <w:rFonts w:asciiTheme="minorHAnsi" w:hAnsiTheme="minorHAnsi" w:cstheme="minorHAnsi"/>
          <w:sz w:val="20"/>
          <w:szCs w:val="20"/>
        </w:rPr>
        <w:t>ŽoP predfinancovanie sa označí „00001“</w:t>
      </w:r>
    </w:p>
    <w:p w14:paraId="505965DE" w14:textId="77777777" w:rsidR="00DD5AB0" w:rsidRPr="00142EDC" w:rsidRDefault="00DD5AB0" w:rsidP="00DD5AB0">
      <w:pPr>
        <w:pStyle w:val="Odsekzoznamu"/>
        <w:numPr>
          <w:ilvl w:val="0"/>
          <w:numId w:val="93"/>
        </w:numPr>
        <w:ind w:left="851" w:hanging="142"/>
        <w:rPr>
          <w:rFonts w:asciiTheme="minorHAnsi" w:hAnsiTheme="minorHAnsi" w:cstheme="minorHAnsi"/>
          <w:sz w:val="20"/>
          <w:szCs w:val="20"/>
        </w:rPr>
      </w:pPr>
      <w:r w:rsidRPr="00142EDC">
        <w:rPr>
          <w:rFonts w:asciiTheme="minorHAnsi" w:hAnsiTheme="minorHAnsi" w:cstheme="minorHAnsi"/>
          <w:sz w:val="20"/>
          <w:szCs w:val="20"/>
        </w:rPr>
        <w:t xml:space="preserve">ŽoP zúčtovanie predfinancovania sa označí „00002“ </w:t>
      </w:r>
    </w:p>
    <w:p w14:paraId="10A5D197" w14:textId="77777777" w:rsidR="00DD5AB0" w:rsidRPr="00142EDC" w:rsidRDefault="00DD5AB0" w:rsidP="00DD5AB0">
      <w:pPr>
        <w:pStyle w:val="Odsekzoznamu"/>
        <w:numPr>
          <w:ilvl w:val="0"/>
          <w:numId w:val="93"/>
        </w:numPr>
        <w:ind w:left="851" w:hanging="142"/>
        <w:rPr>
          <w:rFonts w:asciiTheme="minorHAnsi" w:hAnsiTheme="minorHAnsi" w:cstheme="minorHAnsi"/>
          <w:sz w:val="20"/>
          <w:szCs w:val="20"/>
        </w:rPr>
      </w:pPr>
      <w:r w:rsidRPr="00142EDC">
        <w:rPr>
          <w:rFonts w:asciiTheme="minorHAnsi" w:hAnsiTheme="minorHAnsi" w:cstheme="minorHAnsi"/>
          <w:sz w:val="20"/>
          <w:szCs w:val="20"/>
        </w:rPr>
        <w:t>ŽoP záloha sa označí „00003“</w:t>
      </w:r>
    </w:p>
    <w:p w14:paraId="44663C76" w14:textId="77777777" w:rsidR="00DD5AB0" w:rsidRPr="00142EDC" w:rsidRDefault="00DD5AB0" w:rsidP="00DD5AB0">
      <w:pPr>
        <w:pStyle w:val="Odsekzoznamu"/>
        <w:numPr>
          <w:ilvl w:val="0"/>
          <w:numId w:val="93"/>
        </w:numPr>
        <w:ind w:left="851" w:hanging="142"/>
        <w:rPr>
          <w:rFonts w:asciiTheme="minorHAnsi" w:hAnsiTheme="minorHAnsi" w:cstheme="minorHAnsi"/>
          <w:sz w:val="20"/>
          <w:szCs w:val="20"/>
        </w:rPr>
      </w:pPr>
      <w:r w:rsidRPr="00142EDC">
        <w:rPr>
          <w:rFonts w:asciiTheme="minorHAnsi" w:hAnsiTheme="minorHAnsi" w:cstheme="minorHAnsi"/>
          <w:sz w:val="20"/>
          <w:szCs w:val="20"/>
        </w:rPr>
        <w:t>ŽoP zúčtovanie zálohy sa označí „00004“</w:t>
      </w:r>
    </w:p>
    <w:p w14:paraId="212A53F6" w14:textId="77777777" w:rsidR="00DD5AB0" w:rsidRPr="00142EDC" w:rsidRDefault="00DD5AB0" w:rsidP="00DD5AB0">
      <w:pPr>
        <w:pStyle w:val="Odsekzoznamu"/>
        <w:numPr>
          <w:ilvl w:val="0"/>
          <w:numId w:val="93"/>
        </w:numPr>
        <w:ind w:left="851" w:hanging="142"/>
        <w:rPr>
          <w:rFonts w:asciiTheme="minorHAnsi" w:hAnsiTheme="minorHAnsi" w:cstheme="minorHAnsi"/>
          <w:sz w:val="20"/>
          <w:szCs w:val="20"/>
        </w:rPr>
      </w:pPr>
      <w:r w:rsidRPr="00142EDC">
        <w:rPr>
          <w:rFonts w:asciiTheme="minorHAnsi" w:hAnsiTheme="minorHAnsi" w:cstheme="minorHAnsi"/>
          <w:sz w:val="20"/>
          <w:szCs w:val="20"/>
        </w:rPr>
        <w:t>ŽoP refundácia sa označí „00005“</w:t>
      </w:r>
    </w:p>
    <w:p w14:paraId="6FE3B6B7" w14:textId="77777777" w:rsidR="00DD5AB0" w:rsidRPr="00142EDC" w:rsidRDefault="00DD5AB0" w:rsidP="00DD5AB0">
      <w:pPr>
        <w:ind w:left="426"/>
        <w:rPr>
          <w:rFonts w:asciiTheme="minorHAnsi" w:hAnsiTheme="minorHAnsi" w:cstheme="minorHAnsi"/>
          <w:sz w:val="20"/>
          <w:szCs w:val="20"/>
        </w:rPr>
      </w:pPr>
      <w:r w:rsidRPr="00142EDC">
        <w:rPr>
          <w:rFonts w:asciiTheme="minorHAnsi" w:hAnsiTheme="minorHAnsi" w:cstheme="minorHAnsi"/>
          <w:sz w:val="20"/>
          <w:szCs w:val="20"/>
        </w:rPr>
        <w:t xml:space="preserve">e) </w:t>
      </w:r>
      <w:r>
        <w:rPr>
          <w:rFonts w:asciiTheme="minorHAnsi" w:hAnsiTheme="minorHAnsi" w:cstheme="minorHAnsi"/>
          <w:sz w:val="20"/>
          <w:szCs w:val="20"/>
        </w:rPr>
        <w:t>1</w:t>
      </w:r>
      <w:r w:rsidRPr="00142EDC">
        <w:rPr>
          <w:rFonts w:asciiTheme="minorHAnsi" w:hAnsiTheme="minorHAnsi" w:cstheme="minorHAnsi"/>
          <w:sz w:val="20"/>
          <w:szCs w:val="20"/>
        </w:rPr>
        <w:t xml:space="preserve"> - označenie </w:t>
      </w:r>
      <w:r>
        <w:rPr>
          <w:rFonts w:asciiTheme="minorHAnsi" w:hAnsiTheme="minorHAnsi" w:cstheme="minorHAnsi"/>
          <w:sz w:val="20"/>
          <w:szCs w:val="20"/>
        </w:rPr>
        <w:t>ŽoP</w:t>
      </w:r>
    </w:p>
    <w:p w14:paraId="0DE58D15" w14:textId="77777777" w:rsidR="00DD5AB0" w:rsidRPr="00142EDC" w:rsidRDefault="00DD5AB0" w:rsidP="00DD5AB0">
      <w:pPr>
        <w:ind w:left="426"/>
        <w:rPr>
          <w:rFonts w:asciiTheme="minorHAnsi" w:hAnsiTheme="minorHAnsi" w:cstheme="minorHAnsi"/>
          <w:sz w:val="20"/>
          <w:szCs w:val="20"/>
        </w:rPr>
      </w:pPr>
      <w:r w:rsidRPr="00142EDC">
        <w:rPr>
          <w:rFonts w:asciiTheme="minorHAnsi" w:hAnsiTheme="minorHAnsi" w:cstheme="minorHAnsi"/>
          <w:sz w:val="20"/>
          <w:szCs w:val="20"/>
        </w:rPr>
        <w:t>f) 000x - poradové číslo ŽoP celkovo.</w:t>
      </w:r>
    </w:p>
    <w:p w14:paraId="6D01F137" w14:textId="11448B1F" w:rsidR="00654153" w:rsidRPr="00BE4C87" w:rsidRDefault="00654153" w:rsidP="00B66B70">
      <w:pPr>
        <w:widowControl w:val="0"/>
        <w:spacing w:line="276" w:lineRule="auto"/>
        <w:jc w:val="both"/>
        <w:rPr>
          <w:rFonts w:asciiTheme="minorHAnsi" w:hAnsiTheme="minorHAnsi" w:cstheme="minorHAnsi"/>
          <w:sz w:val="20"/>
          <w:szCs w:val="20"/>
        </w:rPr>
      </w:pPr>
    </w:p>
    <w:p w14:paraId="7E8FAC29" w14:textId="77777777"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61DF4BFF"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 SR  </w:t>
      </w:r>
      <w:r w:rsidR="00F30813" w:rsidRPr="008F7E54">
        <w:rPr>
          <w:rFonts w:asciiTheme="minorHAnsi" w:hAnsiTheme="minorHAnsi" w:cstheme="minorHAnsi"/>
          <w:sz w:val="20"/>
          <w:szCs w:val="20"/>
        </w:rPr>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25F719A5"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0BAE72A3"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06B35CEB"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lastRenderedPageBreak/>
        <w:t>podporná dokumentácia, ktorá je súčasťou ŽoP nie je úplná, alebo ak je nesprávne vyplnená</w:t>
      </w:r>
      <w:r>
        <w:rPr>
          <w:rFonts w:asciiTheme="minorHAnsi" w:hAnsiTheme="minorHAnsi" w:cstheme="minorHAnsi"/>
          <w:sz w:val="20"/>
          <w:szCs w:val="20"/>
        </w:rPr>
        <w:t>.</w:t>
      </w:r>
    </w:p>
    <w:p w14:paraId="15C52970" w14:textId="61803D40"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3F8DF8FD"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5DFC5011"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5ADFA917"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32DB0925"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345AF296"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5AEF7E3C"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9" w:name="_Toc410907860"/>
      <w:bookmarkStart w:id="260" w:name="_Toc413834087"/>
      <w:bookmarkStart w:id="261" w:name="_Toc99449444"/>
      <w:r w:rsidRPr="00BE4C87">
        <w:rPr>
          <w:rStyle w:val="Nadpis2Char"/>
        </w:rPr>
        <w:t>Špecifiká jednotlivých</w:t>
      </w:r>
      <w:r w:rsidRPr="00BE4C87">
        <w:t xml:space="preserve"> </w:t>
      </w:r>
      <w:r w:rsidRPr="00BE4C87">
        <w:rPr>
          <w:b w:val="0"/>
        </w:rPr>
        <w:t>systémov financovania</w:t>
      </w:r>
      <w:bookmarkEnd w:id="259"/>
      <w:bookmarkEnd w:id="260"/>
      <w:bookmarkEnd w:id="261"/>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76C4BC17"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w:t>
      </w:r>
      <w:r w:rsidRPr="009712C9">
        <w:rPr>
          <w:rFonts w:asciiTheme="minorHAnsi" w:hAnsiTheme="minorHAnsi" w:cstheme="minorHAnsi"/>
          <w:sz w:val="20"/>
          <w:szCs w:val="20"/>
        </w:rPr>
        <w:lastRenderedPageBreak/>
        <w:t xml:space="preserve">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D93C3F8"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2"/>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4DEE14B7"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3E9AD230"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 SR vykoná AFK ŽoP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07BD9015"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ŽoP (poskytnutie predfinancovania),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09C08895"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lastRenderedPageBreak/>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3"/>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 SR v listinnej podobe.</w:t>
      </w:r>
    </w:p>
    <w:p w14:paraId="769FB4F9" w14:textId="5D0BB5A4"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poskytnutia zálohovej platby</w:t>
      </w:r>
    </w:p>
    <w:p w14:paraId="60F96780" w14:textId="7031F61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 SR. Prijímateľ po začatí realizácie projektu predkladá ŽoP (poskytnutie zálohovej 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3789D064"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Prijímateľ spolu so ŽoP</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3D3006FE"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 SR vykoná kontrolu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na základe podmienok a postupu výkonu kontroly projektu. V prípade zistenia nedostatkov MD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76C37225"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4"/>
      </w:r>
      <w:r w:rsidRPr="0039250A">
        <w:rPr>
          <w:rFonts w:asciiTheme="minorHAnsi" w:hAnsiTheme="minorHAnsi" w:cstheme="minorHAnsi"/>
          <w:sz w:val="20"/>
          <w:szCs w:val="20"/>
        </w:rPr>
        <w:t xml:space="preserve">. </w:t>
      </w:r>
    </w:p>
    <w:p w14:paraId="1A1C03EC" w14:textId="35D2AA98"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 SR </w:t>
      </w:r>
      <w:r w:rsidRPr="00BE4C87">
        <w:rPr>
          <w:rFonts w:asciiTheme="minorHAnsi" w:hAnsiTheme="minorHAnsi" w:cstheme="minorHAnsi"/>
          <w:b/>
          <w:sz w:val="20"/>
          <w:szCs w:val="20"/>
        </w:rPr>
        <w:t>spolu so ŽoP:</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3CCDF939"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lastRenderedPageBreak/>
        <w:t xml:space="preserve">doklady preukazujúce prípadné vrátenie nezúčtovanej časti poskytnutej zálohy na účet MD SR.  </w:t>
      </w:r>
    </w:p>
    <w:p w14:paraId="29349193" w14:textId="482B9DF9"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 SR, nezúčtovaná časť poskytnutej zálohovej platby z predchádzajúceho roku sa vracia na príjmový účet MD SR. Pri realizovaní vrátenia prijímateľ postupuje v zmysle zmluvy o poskytnutí prostriedkov mechanizmu. </w:t>
      </w:r>
    </w:p>
    <w:p w14:paraId="60C17776" w14:textId="4CB88AE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261C35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05F8DEC3"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14A81D8B"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lastRenderedPageBreak/>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3730F0A7"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 SR vykoná AFK ŽoP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2" w:name="_Toc99449445"/>
      <w:r w:rsidRPr="00BE4C87">
        <w:rPr>
          <w:b w:val="0"/>
        </w:rPr>
        <w:t>Účtovné</w:t>
      </w:r>
      <w:r w:rsidR="00D54856">
        <w:rPr>
          <w:b w:val="0"/>
        </w:rPr>
        <w:t xml:space="preserve"> a daňové</w:t>
      </w:r>
      <w:r w:rsidRPr="00BE4C87">
        <w:rPr>
          <w:b w:val="0"/>
        </w:rPr>
        <w:t xml:space="preserve"> doklady a ich prílohy</w:t>
      </w:r>
      <w:bookmarkEnd w:id="262"/>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5BD5431E"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lastRenderedPageBreak/>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alebo overenú 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40A341E9"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3" w:name="_Toc99449446"/>
      <w:r w:rsidRPr="00BE4C87">
        <w:rPr>
          <w:b w:val="0"/>
        </w:rPr>
        <w:t>Vysporia</w:t>
      </w:r>
      <w:r w:rsidR="00DC0F99" w:rsidRPr="00BE4C87">
        <w:rPr>
          <w:b w:val="0"/>
        </w:rPr>
        <w:t>danie finančných vzťahov</w:t>
      </w:r>
      <w:bookmarkStart w:id="264" w:name="_Toc164424694"/>
      <w:bookmarkStart w:id="265" w:name="_Toc182198164"/>
      <w:bookmarkStart w:id="266" w:name="_Toc257620592"/>
      <w:bookmarkEnd w:id="263"/>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19267ACD" w14:textId="1E0EABA8" w:rsidR="00FF03B1" w:rsidRPr="00FF03B1" w:rsidRDefault="00945F00" w:rsidP="00FF03B1">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6233F3D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K vysporiadaniu finančných vzťahov s prijímateľom pristupuje vykonávateľ </w:t>
      </w:r>
      <w:r w:rsidR="00C8224C">
        <w:rPr>
          <w:rFonts w:asciiTheme="minorHAnsi" w:hAnsiTheme="minorHAnsi" w:cstheme="minorHAnsi"/>
          <w:sz w:val="20"/>
        </w:rPr>
        <w:t xml:space="preserve">z titulu finančnej opravy </w:t>
      </w:r>
      <w:r w:rsidRPr="00945F00">
        <w:rPr>
          <w:rFonts w:asciiTheme="minorHAnsi" w:hAnsiTheme="minorHAnsi" w:cstheme="minorHAnsi"/>
          <w:sz w:val="20"/>
        </w:rPr>
        <w:t>najmä v nasledovných prípadoch:</w:t>
      </w:r>
    </w:p>
    <w:p w14:paraId="639AF073" w14:textId="1399C534" w:rsidR="00C630CA" w:rsidRDefault="00C630CA" w:rsidP="00C630CA">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podvodu, korupcie, konfliktu záujmov a dvojitého financovanie na úrovni prijímateľa alebo iných osôb na strane prijímateľa,</w:t>
      </w:r>
    </w:p>
    <w:p w14:paraId="55D33E3B" w14:textId="43661BD9" w:rsidR="00CC0D18" w:rsidRPr="00B71EDE" w:rsidRDefault="00C630CA"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 xml:space="preserve">prijímateľ použil poskytnuté finančné prostriedky v rozpore s uplatniteľnými predpismi SR alebo EÚ </w:t>
      </w:r>
      <w:r>
        <w:rPr>
          <w:rFonts w:asciiTheme="minorHAnsi" w:hAnsiTheme="minorHAnsi" w:cstheme="minorHAnsi"/>
          <w:sz w:val="20"/>
        </w:rPr>
        <w:lastRenderedPageBreak/>
        <w:t>a toto</w:t>
      </w:r>
      <w:r w:rsidR="00945F00" w:rsidRPr="00945F00">
        <w:rPr>
          <w:rFonts w:asciiTheme="minorHAnsi" w:hAnsiTheme="minorHAnsi" w:cstheme="minorHAnsi"/>
          <w:sz w:val="20"/>
        </w:rPr>
        <w:t xml:space="preserve"> porušenie </w:t>
      </w:r>
      <w:r w:rsidRPr="00C630CA">
        <w:rPr>
          <w:rFonts w:asciiTheme="minorHAnsi" w:hAnsiTheme="minorHAnsi" w:cstheme="minorHAnsi"/>
          <w:sz w:val="20"/>
        </w:rPr>
        <w:t>má vplyv na financovanie alebo,</w:t>
      </w:r>
    </w:p>
    <w:p w14:paraId="2CB4D628" w14:textId="43299C29" w:rsidR="00945F00" w:rsidRDefault="00C630CA"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00945F00"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00945F00" w:rsidRPr="00945F00">
        <w:rPr>
          <w:rFonts w:asciiTheme="minorHAnsi" w:hAnsiTheme="minorHAnsi" w:cstheme="minorHAnsi"/>
          <w:sz w:val="20"/>
        </w:rPr>
        <w:t>porušenie týchto povinností, resp. nesplnenie týchto povinností je spojené s povinnosťou vrátenia finančných prostriedkov,</w:t>
      </w:r>
    </w:p>
    <w:p w14:paraId="107F0D20" w14:textId="77777777" w:rsidR="00C630CA" w:rsidRPr="00C630CA" w:rsidRDefault="00C630CA" w:rsidP="00C630CA">
      <w:pPr>
        <w:widowControl w:val="0"/>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 xml:space="preserve">a z iných dôvodov najmä v prípade, ak: </w:t>
      </w:r>
    </w:p>
    <w:p w14:paraId="2E589FCC" w14:textId="477F031E" w:rsidR="00C630CA" w:rsidRPr="00C8224C" w:rsidRDefault="00C630CA" w:rsidP="00C8224C">
      <w:pPr>
        <w:pStyle w:val="Odsekzoznamu"/>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8224C">
        <w:rPr>
          <w:rFonts w:asciiTheme="minorHAnsi" w:hAnsiTheme="minorHAnsi" w:cstheme="minorHAnsi"/>
          <w:sz w:val="20"/>
        </w:rPr>
        <w:t>prijímateľovi bola poskytnutá zálohová platba alebo predfinancovanie, ktoré nepoužil a v stanovenej lehote na zúčtovanie prijímateľ poskytnutú a nepoužitú zálohovú platbu alebo poskytnuté a nepoužité predfinancovanie vykonávateľovi vracia alebo</w:t>
      </w:r>
    </w:p>
    <w:p w14:paraId="028A915C" w14:textId="3040F27E" w:rsidR="00945F00" w:rsidRPr="00B71EDE" w:rsidRDefault="00945F00"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prijímateľovi boli poskytnuté pro</w:t>
      </w:r>
      <w:r w:rsidR="00B71EDE">
        <w:rPr>
          <w:rFonts w:asciiTheme="minorHAnsi" w:hAnsiTheme="minorHAnsi" w:cstheme="minorHAnsi"/>
          <w:sz w:val="20"/>
        </w:rPr>
        <w:t>striedky z titulu mylnej platby.</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1AC37BC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4</w:t>
      </w:r>
      <w:r w:rsidR="00AB4806" w:rsidRPr="00AB4806">
        <w:rPr>
          <w:rFonts w:asciiTheme="minorHAnsi" w:hAnsiTheme="minorHAnsi" w:cstheme="minorHAnsi"/>
          <w:sz w:val="20"/>
        </w:rPr>
        <w:t xml:space="preserve"> </w:t>
      </w:r>
      <w:r w:rsidRPr="00945F00">
        <w:rPr>
          <w:rFonts w:asciiTheme="minorHAnsi" w:hAnsiTheme="minorHAnsi" w:cstheme="minorHAnsi"/>
          <w:sz w:val="20"/>
        </w:rPr>
        <w:t>a vykonávateľ zabezpečí zodpovedajúcu evidenciu v</w:t>
      </w:r>
      <w:r w:rsidR="003E381E">
        <w:rPr>
          <w:rFonts w:asciiTheme="minorHAnsi" w:hAnsiTheme="minorHAnsi" w:cstheme="minorHAnsi"/>
          <w:sz w:val="20"/>
        </w:rPr>
        <w:t xml:space="preserve"> ním používanom ekonomickom/účtovnom systéme. </w:t>
      </w:r>
      <w:r w:rsidRPr="00945F00">
        <w:rPr>
          <w:rFonts w:asciiTheme="minorHAnsi" w:hAnsiTheme="minorHAnsi" w:cstheme="minorHAnsi"/>
          <w:sz w:val="20"/>
        </w:rPr>
        <w:t xml:space="preserve">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7"/>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prípade, ak vznikne prijímateľovi povinnosť vrátiť prostriedky mechanizmu, môže vykonávateľ s prijímateľom </w:t>
      </w:r>
      <w:r w:rsidRPr="00945F00">
        <w:rPr>
          <w:rFonts w:asciiTheme="minorHAnsi" w:hAnsiTheme="minorHAnsi" w:cstheme="minorHAnsi"/>
          <w:sz w:val="20"/>
        </w:rPr>
        <w:lastRenderedPageBreak/>
        <w:t>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7" w:name="_Toc99449447"/>
      <w:bookmarkEnd w:id="264"/>
      <w:bookmarkEnd w:id="265"/>
      <w:bookmarkEnd w:id="266"/>
      <w:r w:rsidRPr="00BE4C87">
        <w:t>Monitorovanie projektu</w:t>
      </w:r>
      <w:bookmarkEnd w:id="267"/>
    </w:p>
    <w:p w14:paraId="0BA8CB56" w14:textId="4757675A"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148F2509"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057EB06"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4B1CED4"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w:t>
      </w:r>
      <w:r>
        <w:rPr>
          <w:rFonts w:asciiTheme="minorHAnsi" w:hAnsiTheme="minorHAnsi" w:cstheme="minorHAnsi"/>
          <w:sz w:val="20"/>
        </w:rPr>
        <w:lastRenderedPageBreak/>
        <w:t>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F37EB3"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001B10D1">
        <w:rPr>
          <w:rFonts w:asciiTheme="minorHAnsi" w:hAnsiTheme="minorHAnsi" w:cstheme="minorHAnsi"/>
          <w:sz w:val="20"/>
        </w:rPr>
        <w:t xml:space="preserve"> (ak boli prostriedky mechanizmu poskytnuté na jej základe)</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3D5C0D0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určí </w:t>
      </w:r>
      <w:r w:rsidR="00BF1DAC">
        <w:rPr>
          <w:rFonts w:asciiTheme="minorHAnsi" w:hAnsiTheme="minorHAnsi" w:cstheme="minorHAnsi"/>
          <w:sz w:val="20"/>
        </w:rPr>
        <w:t xml:space="preserve">MD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2C3F22A8"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211447">
        <w:rPr>
          <w:rFonts w:asciiTheme="minorHAnsi" w:hAnsiTheme="minorHAnsi" w:cstheme="minorHAnsi"/>
          <w:i/>
          <w:sz w:val="20"/>
        </w:rPr>
        <w:t>Zmluvy o</w:t>
      </w:r>
      <w:r w:rsidR="00BF1DAC" w:rsidRPr="00211447">
        <w:rPr>
          <w:rFonts w:asciiTheme="minorHAnsi" w:hAnsiTheme="minorHAnsi" w:cstheme="minorHAnsi"/>
          <w: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8" w:name="_Toc414285854"/>
      <w:bookmarkStart w:id="269" w:name="_Toc414311918"/>
      <w:bookmarkStart w:id="270" w:name="_Toc414318276"/>
      <w:bookmarkStart w:id="271" w:name="_Toc414320246"/>
      <w:bookmarkStart w:id="272" w:name="_Toc414320893"/>
      <w:bookmarkStart w:id="273" w:name="_Toc415007743"/>
      <w:bookmarkStart w:id="274" w:name="_Toc416396456"/>
      <w:bookmarkStart w:id="275" w:name="_Toc419063967"/>
      <w:bookmarkStart w:id="276" w:name="_Toc419358849"/>
      <w:bookmarkStart w:id="277" w:name="_Toc419583162"/>
      <w:bookmarkStart w:id="278" w:name="_Toc446404100"/>
      <w:bookmarkStart w:id="279" w:name="_Toc451862906"/>
      <w:bookmarkStart w:id="280" w:name="_Toc93416858"/>
      <w:bookmarkStart w:id="281" w:name="_Toc93501638"/>
      <w:bookmarkStart w:id="282" w:name="_Toc93502438"/>
      <w:bookmarkStart w:id="283" w:name="_Toc98504273"/>
      <w:bookmarkStart w:id="284" w:name="_Toc98504387"/>
      <w:bookmarkStart w:id="285" w:name="_Toc99449276"/>
      <w:bookmarkStart w:id="286" w:name="_Toc9944944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1948DB4A" w14:textId="77777777" w:rsidR="00DC0F99" w:rsidRPr="00BE4C87" w:rsidRDefault="003D269E" w:rsidP="00B66B70">
      <w:pPr>
        <w:pStyle w:val="Nadpis2"/>
        <w:keepNext w:val="0"/>
        <w:widowControl w:val="0"/>
        <w:numPr>
          <w:ilvl w:val="1"/>
          <w:numId w:val="31"/>
        </w:numPr>
      </w:pPr>
      <w:bookmarkStart w:id="287" w:name="_Toc99449449"/>
      <w:r w:rsidRPr="00BE4C87">
        <w:rPr>
          <w:rStyle w:val="Nadpis2Char"/>
          <w:bCs/>
        </w:rPr>
        <w:t xml:space="preserve">Druhy monitorovacích správ a </w:t>
      </w:r>
      <w:r w:rsidR="00A01141" w:rsidRPr="00BE4C87">
        <w:rPr>
          <w:rStyle w:val="Nadpis2Char"/>
          <w:bCs/>
        </w:rPr>
        <w:t>informácií</w:t>
      </w:r>
      <w:bookmarkEnd w:id="287"/>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52857D60"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41E7EEF9"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lastRenderedPageBreak/>
        <w:t xml:space="preserve">ďalšiu dokumentáciu požadovanú zo strany </w:t>
      </w:r>
      <w:r w:rsidR="00D833A0" w:rsidRPr="00A32CC6">
        <w:rPr>
          <w:rFonts w:asciiTheme="minorHAnsi" w:hAnsiTheme="minorHAnsi" w:cstheme="minorHAnsi"/>
          <w:sz w:val="20"/>
        </w:rPr>
        <w:t>MD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4B25BB06"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t>Následná monitorovacia správa projektu</w:t>
      </w:r>
    </w:p>
    <w:p w14:paraId="25FCAC99" w14:textId="1105E82B"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D5005FA"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5E749801"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xml:space="preserve">, ak </w:t>
      </w:r>
      <w:r w:rsidR="00EB59D4" w:rsidRPr="00CA21A5">
        <w:rPr>
          <w:rFonts w:ascii="Calibri" w:hAnsi="Calibri" w:cs="Calibri"/>
          <w:sz w:val="20"/>
          <w:szCs w:val="20"/>
        </w:rPr>
        <w:lastRenderedPageBreak/>
        <w:t>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8" w:name="_Toc308696929"/>
      <w:bookmarkStart w:id="289" w:name="_Toc308696930"/>
      <w:bookmarkStart w:id="290" w:name="_Toc308696931"/>
      <w:bookmarkEnd w:id="288"/>
      <w:bookmarkEnd w:id="289"/>
      <w:bookmarkEnd w:id="290"/>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1" w:name="_Toc99449450"/>
      <w:r w:rsidRPr="00B64A52">
        <w:t xml:space="preserve">Finančná </w:t>
      </w:r>
      <w:r w:rsidR="00DC0F99" w:rsidRPr="00B64A52">
        <w:t xml:space="preserve"> </w:t>
      </w:r>
      <w:bookmarkStart w:id="292" w:name="_Toc268096225"/>
      <w:r w:rsidR="0098464C" w:rsidRPr="00B64A52">
        <w:t>k</w:t>
      </w:r>
      <w:r w:rsidR="00DC0F99" w:rsidRPr="00B64A52">
        <w:t>ontrola na mieste</w:t>
      </w:r>
      <w:bookmarkEnd w:id="291"/>
      <w:bookmarkEnd w:id="292"/>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4371C0DC"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6E0BBD29"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7AB49A8F"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3" w:name="_Toc99449451"/>
      <w:r w:rsidRPr="00BE4C87">
        <w:rPr>
          <w:b w:val="0"/>
        </w:rPr>
        <w:lastRenderedPageBreak/>
        <w:t>Postup realizácie</w:t>
      </w:r>
      <w:r w:rsidR="000C279F">
        <w:rPr>
          <w:b w:val="0"/>
        </w:rPr>
        <w:t xml:space="preserve"> finančnej</w:t>
      </w:r>
      <w:r w:rsidRPr="00BE4C87">
        <w:rPr>
          <w:b w:val="0"/>
        </w:rPr>
        <w:t xml:space="preserve"> kontroly na mieste</w:t>
      </w:r>
      <w:bookmarkEnd w:id="293"/>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4"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4"/>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23EC024B"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28F8C725"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prostredníctvom Oznámenia o termíne vykonania </w:t>
      </w:r>
      <w:r w:rsidR="007F7935">
        <w:rPr>
          <w:rFonts w:asciiTheme="minorHAnsi" w:hAnsiTheme="minorHAnsi" w:cstheme="minorHAnsi"/>
          <w:sz w:val="20"/>
        </w:rPr>
        <w:t>FKnM</w:t>
      </w:r>
      <w:r w:rsidR="00E612C4">
        <w:rPr>
          <w:rFonts w:asciiTheme="minorHAnsi" w:hAnsiTheme="minorHAnsi" w:cstheme="minorHAnsi"/>
          <w:sz w:val="20"/>
        </w:rPr>
        <w:t xml:space="preserve">, najneskôr pri vstupe do objektu, zariadenia, prevádzky, dopravného prostriedku, na pozemok prijímateľa, do obydlia, ak sa používa aj na podnikanie alebo vykonávanie inej hospodárskej činnosti.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5DE47EAF"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5"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5"/>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67099A1C"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 xml:space="preserve">kontrola dodania predmetu plnenia (tovarov, služieb, stavebných prác) pri využití preddavkových platieb </w:t>
      </w:r>
      <w:r>
        <w:rPr>
          <w:rFonts w:asciiTheme="minorHAnsi" w:hAnsiTheme="minorHAnsi" w:cstheme="minorHAnsi"/>
          <w:sz w:val="20"/>
        </w:rPr>
        <w:lastRenderedPageBreak/>
        <w:t>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5317D036"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8"/>
      </w:r>
      <w:r w:rsidR="00B128DB" w:rsidRPr="00BE4C87">
        <w:rPr>
          <w:rFonts w:asciiTheme="minorHAnsi" w:hAnsiTheme="minorHAnsi" w:cstheme="minorHAnsi"/>
          <w:sz w:val="20"/>
        </w:rPr>
        <w:t xml:space="preserve"> </w:t>
      </w:r>
    </w:p>
    <w:p w14:paraId="642B0FF6" w14:textId="3E31FDE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771ED779"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355D4D3D"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693E4984"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778A1814"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6"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6"/>
    </w:p>
    <w:p w14:paraId="04B78CD3" w14:textId="1B160EF1" w:rsidR="009618A5" w:rsidRDefault="00DF6A68" w:rsidP="00211447">
      <w:pPr>
        <w:widowControl w:val="0"/>
        <w:spacing w:line="276" w:lineRule="auto"/>
        <w:jc w:val="both"/>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7"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8" w:name="_Toc99449453"/>
      <w:r w:rsidRPr="00BE4C87">
        <w:t>I</w:t>
      </w:r>
      <w:r w:rsidR="00DC0F99" w:rsidRPr="00BE4C87">
        <w:t xml:space="preserve">nformovanie a </w:t>
      </w:r>
      <w:bookmarkEnd w:id="297"/>
      <w:r w:rsidRPr="00BE4C87">
        <w:t>komunikácia</w:t>
      </w:r>
      <w:bookmarkEnd w:id="298"/>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979919A" w14:textId="4834896C" w:rsidR="00FF03B1" w:rsidRDefault="00FF03B1" w:rsidP="00B66B70">
      <w:pPr>
        <w:widowControl w:val="0"/>
        <w:numPr>
          <w:ilvl w:val="7"/>
          <w:numId w:val="63"/>
        </w:numPr>
        <w:tabs>
          <w:tab w:val="num" w:pos="1800"/>
        </w:tabs>
        <w:spacing w:after="60" w:line="276" w:lineRule="auto"/>
        <w:jc w:val="both"/>
        <w:rPr>
          <w:rFonts w:asciiTheme="minorHAnsi" w:hAnsiTheme="minorHAnsi" w:cstheme="minorHAnsi"/>
          <w:sz w:val="20"/>
        </w:rPr>
      </w:pPr>
      <w:r w:rsidRPr="001B10D1">
        <w:rPr>
          <w:rFonts w:asciiTheme="minorHAnsi" w:hAnsiTheme="minorHAnsi" w:cstheme="minorHAnsi"/>
          <w:sz w:val="20"/>
        </w:rPr>
        <w:t xml:space="preserve">je povinný poskytnúť súčinnosť EK, vykonávateľovi a NIKA, podľa článku 34 nariadenia o mechanizme na zabezpečenie zviditeľnenia Mechanizmu na podporu obnovy a odolnosti tak, že poskytne </w:t>
      </w:r>
      <w:r w:rsidRPr="001B10D1">
        <w:rPr>
          <w:rFonts w:asciiTheme="minorHAnsi" w:hAnsiTheme="minorHAnsi" w:cstheme="minorHAnsi"/>
          <w:sz w:val="20"/>
        </w:rPr>
        <w:lastRenderedPageBreak/>
        <w:t>koherentné, účinné a primerané cielené informácie rôznym cieľovým skupinám vrátane médií a verejnosti. Osobné údaje prijímateľa sú spracúvané v súlade so zmluvou o poskytnutí prostriedkov mechanizmu.</w:t>
      </w:r>
    </w:p>
    <w:p w14:paraId="73B0DAF6" w14:textId="06D1B2E3" w:rsidR="009618A5" w:rsidRPr="00B71EDE" w:rsidRDefault="009618A5" w:rsidP="00B71EDE">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9" w:name="_Toc87282676"/>
      <w:bookmarkStart w:id="300" w:name="_Toc88116259"/>
      <w:bookmarkStart w:id="301" w:name="_Toc88120676"/>
      <w:bookmarkStart w:id="302" w:name="_Toc88121780"/>
      <w:bookmarkStart w:id="303" w:name="_Toc88128857"/>
      <w:r w:rsidRPr="009618A5">
        <w:rPr>
          <w:rFonts w:asciiTheme="minorHAnsi" w:hAnsiTheme="minorHAnsi" w:cstheme="minorHAnsi"/>
          <w:b/>
          <w:sz w:val="20"/>
        </w:rPr>
        <w:t>Špecifikácie viditeľnosti prostriedkov</w:t>
      </w:r>
      <w:bookmarkEnd w:id="299"/>
      <w:bookmarkEnd w:id="300"/>
      <w:bookmarkEnd w:id="301"/>
      <w:bookmarkEnd w:id="302"/>
      <w:bookmarkEnd w:id="303"/>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je Predmetom projektu hmotne zachytiteľný výstup (napr. stavba, zariadenie, iný hmotný výstup umožňujúci označenie):</w:t>
      </w:r>
    </w:p>
    <w:p w14:paraId="53C3FA20" w14:textId="1A1E0500"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NextGenerationEU“ </w:t>
      </w:r>
      <w:r w:rsidR="00687396" w:rsidRPr="00687396">
        <w:rPr>
          <w:rFonts w:asciiTheme="minorHAnsi" w:hAnsiTheme="minorHAnsi" w:cstheme="minorHAnsi"/>
          <w:sz w:val="20"/>
        </w:rPr>
        <w:t>a loga Plánu obnovy</w:t>
      </w:r>
      <w:r w:rsidRPr="009618A5">
        <w:rPr>
          <w:rFonts w:asciiTheme="minorHAnsi" w:hAnsiTheme="minorHAnsi" w:cstheme="minorHAnsi"/>
          <w:sz w:val="20"/>
        </w:rPr>
        <w:t>;</w:t>
      </w:r>
      <w:r w:rsidR="00211447">
        <w:rPr>
          <w:rFonts w:asciiTheme="minorHAnsi" w:hAnsiTheme="minorHAnsi" w:cstheme="minorHAnsi"/>
          <w:sz w:val="20"/>
        </w:rPr>
        <w:t xml:space="preserve"> najneskôr 3 mesiace od</w:t>
      </w:r>
      <w:r w:rsidR="001B10D1">
        <w:rPr>
          <w:rFonts w:asciiTheme="minorHAnsi" w:hAnsiTheme="minorHAnsi" w:cstheme="minorHAnsi"/>
          <w:sz w:val="20"/>
        </w:rPr>
        <w:t xml:space="preserve"> ukončenia realizácie opatrenia. </w:t>
      </w:r>
      <w:r w:rsidR="001B10D1" w:rsidRPr="001B10D1">
        <w:rPr>
          <w:rFonts w:asciiTheme="minorHAnsi" w:hAnsiTheme="minorHAnsi" w:cstheme="minorHAnsi"/>
          <w:sz w:val="20"/>
        </w:rPr>
        <w:t>Ak tak určí vykonávateľ v záväznej dokumentácii, informácia môže byť doplnená názvom investície/reformy alebo inými doplňujúcimi informáciami, týkajúcimi sa investície/reformy</w:t>
      </w:r>
      <w:r w:rsidR="001B10D1">
        <w:rPr>
          <w:rFonts w:asciiTheme="minorHAnsi" w:hAnsiTheme="minorHAnsi" w:cstheme="minorHAnsi"/>
          <w:sz w:val="20"/>
        </w:rPr>
        <w:t>.</w:t>
      </w:r>
    </w:p>
    <w:p w14:paraId="205F7A50" w14:textId="2EDFC960" w:rsidR="009618A5" w:rsidRPr="009618A5" w:rsidRDefault="009618A5" w:rsidP="003636B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dodržanie pravidla, aby pri zobrazení v spojení s iným logom</w:t>
      </w:r>
      <w:r w:rsidR="001B10D1">
        <w:rPr>
          <w:rFonts w:asciiTheme="minorHAnsi" w:hAnsiTheme="minorHAnsi" w:cstheme="minorHAnsi"/>
          <w:sz w:val="20"/>
        </w:rPr>
        <w:t xml:space="preserve"> </w:t>
      </w:r>
      <w:r w:rsidRPr="009618A5">
        <w:rPr>
          <w:rFonts w:asciiTheme="minorHAnsi" w:hAnsiTheme="minorHAnsi" w:cstheme="minorHAnsi"/>
          <w:sz w:val="20"/>
        </w:rPr>
        <w:t xml:space="preserve">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003636B6">
        <w:rPr>
          <w:rFonts w:asciiTheme="minorHAnsi" w:hAnsiTheme="minorHAnsi" w:cstheme="minorHAnsi"/>
          <w:b/>
          <w:sz w:val="20"/>
        </w:rPr>
        <w:t>.</w:t>
      </w:r>
      <w:r w:rsidR="003636B6" w:rsidRPr="003636B6">
        <w:t xml:space="preserve"> </w:t>
      </w:r>
      <w:r w:rsidR="003636B6" w:rsidRPr="00D249B6">
        <w:rPr>
          <w:rFonts w:asciiTheme="minorHAnsi" w:hAnsiTheme="minorHAnsi" w:cstheme="minorHAnsi"/>
          <w:sz w:val="20"/>
        </w:rPr>
        <w:t>Môže byť doplnené aj logo investície / reformy</w:t>
      </w:r>
      <w:r w:rsidRPr="00CA21A5">
        <w:rPr>
          <w:rFonts w:asciiTheme="minorHAnsi" w:hAnsiTheme="minorHAnsi" w:cstheme="minorHAnsi"/>
          <w:sz w:val="20"/>
        </w:rPr>
        <w:t>;</w:t>
      </w:r>
    </w:p>
    <w:p w14:paraId="79921EF6" w14:textId="5537D5C6" w:rsidR="00687396" w:rsidRDefault="00020F57" w:rsidP="00A55213">
      <w:pPr>
        <w:widowControl w:val="0"/>
        <w:numPr>
          <w:ilvl w:val="2"/>
          <w:numId w:val="62"/>
        </w:numPr>
        <w:tabs>
          <w:tab w:val="num" w:pos="1800"/>
        </w:tabs>
        <w:spacing w:after="60" w:line="276" w:lineRule="auto"/>
        <w:jc w:val="both"/>
        <w:rPr>
          <w:rFonts w:asciiTheme="minorHAnsi" w:hAnsiTheme="minorHAnsi" w:cstheme="minorHAnsi"/>
          <w:sz w:val="20"/>
        </w:rPr>
      </w:pPr>
      <w:r>
        <w:rPr>
          <w:rFonts w:asciiTheme="minorHAnsi" w:hAnsiTheme="minorHAnsi" w:cstheme="minorHAnsi"/>
          <w:sz w:val="20"/>
        </w:rPr>
        <w:t xml:space="preserve">v prípade projektov </w:t>
      </w:r>
      <w:r w:rsidR="009618A5" w:rsidRPr="009618A5">
        <w:rPr>
          <w:rFonts w:asciiTheme="minorHAnsi" w:hAnsiTheme="minorHAnsi" w:cstheme="minorHAnsi"/>
          <w:sz w:val="20"/>
        </w:rPr>
        <w:t>podpore</w:t>
      </w:r>
      <w:r>
        <w:rPr>
          <w:rFonts w:asciiTheme="minorHAnsi" w:hAnsiTheme="minorHAnsi" w:cstheme="minorHAnsi"/>
          <w:sz w:val="20"/>
        </w:rPr>
        <w:t>ných</w:t>
      </w:r>
      <w:r w:rsidR="009618A5" w:rsidRPr="009618A5">
        <w:rPr>
          <w:rFonts w:asciiTheme="minorHAnsi" w:hAnsiTheme="minorHAnsi" w:cstheme="minorHAnsi"/>
          <w:sz w:val="20"/>
        </w:rPr>
        <w:t xml:space="preserve"> z</w:t>
      </w:r>
      <w:r w:rsidR="00687396">
        <w:rPr>
          <w:rFonts w:asciiTheme="minorHAnsi" w:hAnsiTheme="minorHAnsi" w:cstheme="minorHAnsi"/>
          <w:sz w:val="20"/>
        </w:rPr>
        <w:t> prostriedkov mechanizmu</w:t>
      </w:r>
      <w:r w:rsidR="009618A5"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35C76C36" w:rsidR="009618A5" w:rsidRDefault="00687396" w:rsidP="00FF03B1">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v prípade malých reklamných predmetov (napr. pero, šnúrka na mobil, USB kľúč) je Prijímateľ povinný umiestniť odkaz s nápisom „Financovaný Európskou úniou NextGenerationEU“/„Financované Európskou úniou NextGenerationEU“ a emblém EÚ s odkazom na EÚ, pričom minimálna veľkosť emblému EÚ je 10 mm na výšku; v prípade, že veľkosť predmetu takúto veľkosť emblému EÚ neumožňuje, je možné použiť menšiu veľkosť</w:t>
      </w:r>
      <w:r w:rsidR="00FF03B1">
        <w:rPr>
          <w:rFonts w:asciiTheme="minorHAnsi" w:hAnsiTheme="minorHAnsi" w:cstheme="minorHAnsi"/>
          <w:sz w:val="20"/>
        </w:rPr>
        <w:t>.</w:t>
      </w:r>
      <w:r w:rsidR="00FF03B1" w:rsidRPr="00FF03B1">
        <w:t xml:space="preserve"> </w:t>
      </w:r>
      <w:r w:rsidR="00FF03B1" w:rsidRPr="00FF03B1">
        <w:rPr>
          <w:rFonts w:asciiTheme="minorHAnsi" w:hAnsiTheme="minorHAnsi" w:cstheme="minorHAnsi"/>
          <w:sz w:val="20"/>
        </w:rPr>
        <w:t>V prípade nemožnosti umiestnenia takéhoto odkazu na predmet sa viditeľnosť zabezpečí iným primeraným spôsobom</w:t>
      </w:r>
      <w:r w:rsidRPr="00687396">
        <w:rPr>
          <w:rFonts w:asciiTheme="minorHAnsi" w:hAnsiTheme="minorHAnsi" w:cstheme="minorHAnsi"/>
          <w:sz w:val="20"/>
        </w:rPr>
        <w:t>;</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Predmet Projektu nie je hmotne zachytiteľný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DD06F6A" w14:textId="186F4315" w:rsidR="00020F57" w:rsidRDefault="00FF03B1" w:rsidP="00FF03B1">
      <w:pPr>
        <w:widowControl w:val="0"/>
        <w:numPr>
          <w:ilvl w:val="2"/>
          <w:numId w:val="62"/>
        </w:numPr>
        <w:spacing w:after="60" w:line="276" w:lineRule="auto"/>
        <w:jc w:val="both"/>
        <w:rPr>
          <w:rFonts w:asciiTheme="minorHAnsi" w:hAnsiTheme="minorHAnsi" w:cstheme="minorHAnsi"/>
          <w:sz w:val="20"/>
        </w:rPr>
      </w:pPr>
      <w:r w:rsidRPr="00FF03B1">
        <w:rPr>
          <w:rFonts w:asciiTheme="minorHAnsi" w:hAnsiTheme="minorHAnsi" w:cstheme="minorHAnsi"/>
          <w:sz w:val="20"/>
        </w:rPr>
        <w:t xml:space="preserve">uvedenie emblému EÚ s nápisom „Financované Európskou úniou NextGenerationEU“  </w:t>
      </w:r>
      <w:r>
        <w:rPr>
          <w:rFonts w:asciiTheme="minorHAnsi" w:hAnsiTheme="minorHAnsi" w:cstheme="minorHAnsi"/>
          <w:sz w:val="20"/>
        </w:rPr>
        <w:t>a</w:t>
      </w:r>
      <w:r w:rsidR="009618A5" w:rsidRPr="009618A5">
        <w:rPr>
          <w:rFonts w:asciiTheme="minorHAnsi" w:hAnsiTheme="minorHAnsi" w:cstheme="minorHAnsi"/>
          <w:sz w:val="20"/>
        </w:rPr>
        <w:t xml:space="preserve"> Plánu obnovy, na základe ktorého je umožnené financovanie z prostriedkov mechanizmu v oficiálnej komunikácii voči verejnosti, na sociálnych sieťach či v oficiálnych prejavoch</w:t>
      </w:r>
      <w:r w:rsidR="00020F57">
        <w:rPr>
          <w:rFonts w:asciiTheme="minorHAnsi" w:hAnsiTheme="minorHAnsi" w:cstheme="minorHAnsi"/>
          <w:sz w:val="20"/>
        </w:rPr>
        <w:t>;</w:t>
      </w:r>
    </w:p>
    <w:p w14:paraId="5EB33649" w14:textId="4E12EFCC" w:rsidR="00395F00" w:rsidRDefault="00395F00" w:rsidP="00A52873">
      <w:pPr>
        <w:widowControl w:val="0"/>
        <w:spacing w:after="60" w:line="276" w:lineRule="auto"/>
        <w:jc w:val="both"/>
        <w:rPr>
          <w:rFonts w:asciiTheme="minorHAnsi" w:hAnsiTheme="minorHAnsi" w:cstheme="minorHAnsi"/>
          <w:sz w:val="20"/>
        </w:rPr>
      </w:pPr>
    </w:p>
    <w:p w14:paraId="660A6A94" w14:textId="7A0D0729" w:rsidR="009618A5" w:rsidRPr="009618A5" w:rsidRDefault="00687396" w:rsidP="00B66B70">
      <w:pPr>
        <w:widowControl w:val="0"/>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organizácie podujatí</w:t>
      </w:r>
      <w:r w:rsidR="00020F57">
        <w:rPr>
          <w:rFonts w:asciiTheme="minorHAnsi" w:hAnsiTheme="minorHAnsi" w:cstheme="minorHAnsi"/>
          <w:sz w:val="20"/>
        </w:rPr>
        <w:t>, ktoré sú priamo opatrením Plánu obnovy alebo vyplývajú z opatrení, ktoré sú financované mechanizmom,</w:t>
      </w:r>
      <w:r w:rsidRPr="00687396">
        <w:rPr>
          <w:rFonts w:asciiTheme="minorHAnsi" w:hAnsiTheme="minorHAnsi" w:cstheme="minorHAnsi"/>
          <w:sz w:val="20"/>
        </w:rPr>
        <w:t xml:space="preserve"> je prijímateľ povinný </w:t>
      </w:r>
      <w:r w:rsidR="00020F57">
        <w:rPr>
          <w:rFonts w:asciiTheme="minorHAnsi" w:hAnsiTheme="minorHAnsi" w:cstheme="minorHAnsi"/>
          <w:sz w:val="20"/>
        </w:rPr>
        <w:t xml:space="preserve">zobraziť emblém s nápisom „Financované Európskou úniou NextGenerationEU“ a zobraziť logo Plánu obnovy spolu s názvom opatrenia na plagáte minimálne formátu A5 na viditeľnom mieste v priestore konania podujatia. </w:t>
      </w:r>
    </w:p>
    <w:p w14:paraId="38A7ABD9" w14:textId="43C40B19"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lastRenderedPageBreak/>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 xml:space="preserve">logo </w:t>
      </w:r>
      <w:r w:rsidR="00020F57">
        <w:rPr>
          <w:rFonts w:asciiTheme="minorHAnsi" w:hAnsiTheme="minorHAnsi" w:cstheme="minorHAnsi"/>
          <w:b/>
          <w:sz w:val="20"/>
        </w:rPr>
        <w:t xml:space="preserve">Plánu obnovy </w:t>
      </w:r>
      <w:r w:rsidRPr="00CA21A5">
        <w:rPr>
          <w:rFonts w:asciiTheme="minorHAnsi" w:hAnsiTheme="minorHAnsi" w:cstheme="minorHAnsi"/>
          <w:b/>
          <w:sz w:val="20"/>
        </w:rPr>
        <w:t>a </w:t>
      </w:r>
      <w:r w:rsidR="00020F57">
        <w:rPr>
          <w:rFonts w:asciiTheme="minorHAnsi" w:hAnsiTheme="minorHAnsi" w:cstheme="minorHAnsi"/>
          <w:b/>
          <w:sz w:val="20"/>
        </w:rPr>
        <w:t>D</w:t>
      </w:r>
      <w:r w:rsidRPr="00CA21A5">
        <w:rPr>
          <w:rFonts w:asciiTheme="minorHAnsi" w:hAnsiTheme="minorHAnsi" w:cstheme="minorHAnsi"/>
          <w:b/>
          <w:sz w:val="20"/>
        </w:rPr>
        <w:t>izajn manuál pre Plán obnovy</w:t>
      </w:r>
      <w:r w:rsidRPr="009618A5">
        <w:rPr>
          <w:rFonts w:asciiTheme="minorHAnsi" w:hAnsiTheme="minorHAnsi" w:cstheme="minorHAnsi"/>
          <w:sz w:val="20"/>
        </w:rPr>
        <w:t xml:space="preserve"> </w:t>
      </w:r>
      <w:r w:rsidR="00020F57">
        <w:rPr>
          <w:rFonts w:asciiTheme="minorHAnsi" w:hAnsiTheme="minorHAnsi" w:cstheme="minorHAnsi"/>
          <w:sz w:val="20"/>
        </w:rPr>
        <w:t xml:space="preserve">sú uverejnené na webovom sídle </w:t>
      </w:r>
      <w:r w:rsidRPr="009618A5">
        <w:rPr>
          <w:rFonts w:asciiTheme="minorHAnsi" w:hAnsiTheme="minorHAnsi" w:cstheme="minorHAnsi"/>
          <w:sz w:val="20"/>
        </w:rPr>
        <w:t xml:space="preserve">NIKA </w:t>
      </w:r>
      <w:hyperlink r:id="rId17" w:history="1">
        <w:r w:rsidRPr="009618A5">
          <w:rPr>
            <w:rStyle w:val="Hypertextovprepojenie"/>
            <w:rFonts w:asciiTheme="minorHAnsi" w:hAnsiTheme="minorHAnsi" w:cstheme="minorHAnsi"/>
            <w:sz w:val="20"/>
          </w:rPr>
          <w:t>www.planobnovy.sk</w:t>
        </w:r>
      </w:hyperlink>
      <w:r w:rsidR="00020F57">
        <w:rPr>
          <w:rStyle w:val="Odkaznapoznmkupodiarou"/>
          <w:rFonts w:asciiTheme="minorHAnsi" w:hAnsiTheme="minorHAnsi"/>
          <w:color w:val="0000FF"/>
          <w:sz w:val="20"/>
          <w:u w:val="single"/>
        </w:rPr>
        <w:footnoteReference w:id="39"/>
      </w:r>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4" w:name="_Toc99449454"/>
      <w:r w:rsidRPr="00BE4C87">
        <w:t>N</w:t>
      </w:r>
      <w:r w:rsidR="00DC0F99" w:rsidRPr="00BE4C87">
        <w:t>ezrovnalosti</w:t>
      </w:r>
      <w:bookmarkEnd w:id="304"/>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F72CA3" w:rsidRPr="00B101E9" w:rsidRDefault="00F72CA3"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F72CA3" w:rsidRPr="00B101E9" w:rsidRDefault="00F72CA3"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finančnej disciplíny. Z pohľadu národnej legislatívy nezrovnalosť nemusí vždy predstavovať porušenie finančnej disciplíny a naopak identifikované porušenie finančnej disciplíny nemusí zodpovedať nezrovnalosti.</w:t>
      </w:r>
      <w:r w:rsidR="003F2473" w:rsidRPr="00BE4C87">
        <w:rPr>
          <w:rFonts w:asciiTheme="minorHAnsi" w:hAnsiTheme="minorHAnsi" w:cstheme="minorHAnsi"/>
          <w:b/>
          <w:bCs/>
        </w:rPr>
        <w:t xml:space="preserve"> </w:t>
      </w:r>
    </w:p>
    <w:p w14:paraId="0F2F0582" w14:textId="43DCB177"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 SR</w:t>
      </w:r>
      <w:r w:rsidR="00384C70" w:rsidRPr="00BE4C87">
        <w:rPr>
          <w:b w:val="0"/>
        </w:rPr>
        <w:t xml:space="preserve"> pri riešení nezrovnalostí</w:t>
      </w:r>
    </w:p>
    <w:p w14:paraId="19F30ACB" w14:textId="44ECEB71"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41B1B87B"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je v podmienkach Slovenskej republiky zodpovedn</w:t>
      </w:r>
      <w:r w:rsidR="00D249B6">
        <w:rPr>
          <w:rFonts w:asciiTheme="minorHAnsi" w:hAnsiTheme="minorHAnsi" w:cstheme="minorHAnsi"/>
          <w:sz w:val="20"/>
        </w:rPr>
        <w:t>é</w:t>
      </w:r>
      <w:r w:rsidRPr="00CA21A5">
        <w:rPr>
          <w:rFonts w:asciiTheme="minorHAnsi" w:hAnsiTheme="minorHAnsi" w:cstheme="minorHAnsi"/>
          <w:sz w:val="20"/>
        </w:rPr>
        <w:t xml:space="preserve"> </w:t>
      </w:r>
      <w:r w:rsidR="00D833A0" w:rsidRPr="00CA21A5">
        <w:rPr>
          <w:rFonts w:asciiTheme="minorHAnsi" w:hAnsiTheme="minorHAnsi" w:cstheme="minorHAnsi"/>
          <w:sz w:val="20"/>
        </w:rPr>
        <w:t>MD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70A8CB39"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40"/>
      </w:r>
      <w:r w:rsidR="00CF7184" w:rsidRPr="00BE4C87">
        <w:rPr>
          <w:rFonts w:asciiTheme="minorHAnsi" w:hAnsiTheme="minorHAnsi" w:cstheme="minorHAnsi"/>
          <w:i/>
          <w:sz w:val="20"/>
        </w:rPr>
        <w:t>, ktorá bude slúžiť pre účely výkonu kontroly/auditu.</w:t>
      </w:r>
      <w:bookmarkStart w:id="305" w:name="_Toc218591730"/>
      <w:bookmarkStart w:id="306" w:name="_Toc218653667"/>
      <w:bookmarkEnd w:id="305"/>
      <w:bookmarkEnd w:id="306"/>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7" w:name="_Toc99449455"/>
      <w:r w:rsidRPr="00BE4C87">
        <w:t>P</w:t>
      </w:r>
      <w:r w:rsidR="00DC0F99" w:rsidRPr="00BE4C87">
        <w:t>ovinnosti  prijímateľa po ukončení realizácie projektu</w:t>
      </w:r>
      <w:bookmarkEnd w:id="307"/>
    </w:p>
    <w:p w14:paraId="6DF520DE" w14:textId="77777777" w:rsidR="007F6134" w:rsidRPr="00BE4C87" w:rsidRDefault="007F6134" w:rsidP="00B66B70">
      <w:pPr>
        <w:pStyle w:val="Nadpis2"/>
        <w:keepNext w:val="0"/>
        <w:widowControl w:val="0"/>
        <w:numPr>
          <w:ilvl w:val="1"/>
          <w:numId w:val="57"/>
        </w:numPr>
        <w:rPr>
          <w:b w:val="0"/>
          <w:iCs/>
        </w:rPr>
      </w:pPr>
      <w:bookmarkStart w:id="308" w:name="_Toc99449456"/>
      <w:r w:rsidRPr="00BE4C87">
        <w:rPr>
          <w:b w:val="0"/>
          <w:iCs/>
        </w:rPr>
        <w:t>Udržateľnosť projektu</w:t>
      </w:r>
      <w:bookmarkEnd w:id="308"/>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w:t>
      </w:r>
      <w:r w:rsidRPr="00B76B6A">
        <w:rPr>
          <w:rFonts w:asciiTheme="minorHAnsi" w:hAnsiTheme="minorHAnsi" w:cs="Arial"/>
          <w:sz w:val="20"/>
        </w:rPr>
        <w:lastRenderedPageBreak/>
        <w:t xml:space="preserve">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9" w:name="_Toc206548132"/>
      <w:bookmarkStart w:id="310" w:name="_Toc262565820"/>
      <w:bookmarkStart w:id="311" w:name="_Toc99449457"/>
      <w:r w:rsidRPr="00BE4C87">
        <w:rPr>
          <w:b w:val="0"/>
        </w:rPr>
        <w:t>Uchovávanie dokumentácie po ukončení realizácie projektu</w:t>
      </w:r>
      <w:bookmarkEnd w:id="309"/>
      <w:bookmarkEnd w:id="310"/>
      <w:bookmarkEnd w:id="311"/>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audit trail</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zabezpečí, aby všetky podporné dokumenty týkajúce sa implementácie Plánu obnovy a realizácie 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6D9E867A" w14:textId="4AAA5070" w:rsidR="0096092F" w:rsidRDefault="009618A5" w:rsidP="00B71EDE">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Evidencia a uchovávanie dokumentov musí byť zabezpečené aj v súlade </w:t>
      </w:r>
      <w:r w:rsidR="00D46BE4" w:rsidRPr="00D46BE4">
        <w:rPr>
          <w:rFonts w:asciiTheme="minorHAnsi" w:hAnsiTheme="minorHAnsi" w:cstheme="minorHAnsi"/>
          <w:sz w:val="20"/>
          <w:szCs w:val="20"/>
        </w:rPr>
        <w:t>s uplatniteľnými predpismi v tejto oblasti (napr.</w:t>
      </w:r>
      <w:r w:rsidRPr="009618A5">
        <w:rPr>
          <w:rFonts w:asciiTheme="minorHAnsi" w:hAnsiTheme="minorHAnsi" w:cstheme="minorHAnsi"/>
          <w:sz w:val="20"/>
          <w:szCs w:val="20"/>
        </w:rPr>
        <w:t xml:space="preserve"> zákonom o</w:t>
      </w:r>
      <w:r w:rsidR="00D46BE4">
        <w:rPr>
          <w:rFonts w:asciiTheme="minorHAnsi" w:hAnsiTheme="minorHAnsi" w:cstheme="minorHAnsi"/>
          <w:sz w:val="20"/>
          <w:szCs w:val="20"/>
        </w:rPr>
        <w:t> </w:t>
      </w:r>
      <w:r w:rsidRPr="009618A5">
        <w:rPr>
          <w:rFonts w:asciiTheme="minorHAnsi" w:hAnsiTheme="minorHAnsi" w:cstheme="minorHAnsi"/>
          <w:sz w:val="20"/>
          <w:szCs w:val="20"/>
        </w:rPr>
        <w:t>archívoc</w:t>
      </w:r>
      <w:r w:rsidR="00D46BE4">
        <w:rPr>
          <w:rFonts w:asciiTheme="minorHAnsi" w:hAnsiTheme="minorHAnsi" w:cstheme="minorHAnsi"/>
          <w:sz w:val="20"/>
          <w:szCs w:val="20"/>
        </w:rPr>
        <w:t>h</w:t>
      </w:r>
      <w:r w:rsidR="00D46BE4" w:rsidRPr="00D46BE4">
        <w:rPr>
          <w:rFonts w:asciiTheme="minorHAnsi" w:hAnsiTheme="minorHAnsi" w:cstheme="minorHAnsi"/>
          <w:sz w:val="20"/>
          <w:szCs w:val="20"/>
        </w:rPr>
        <w:t xml:space="preserve">, zákon o účtovníctve). </w:t>
      </w:r>
    </w:p>
    <w:p w14:paraId="5190582D" w14:textId="55E510F9"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2" w:name="_Toc99449458"/>
      <w:bookmarkStart w:id="313" w:name="_Toc164424686"/>
      <w:bookmarkStart w:id="314" w:name="_Toc182198157"/>
      <w:bookmarkStart w:id="315" w:name="_Toc257620581"/>
      <w:r w:rsidRPr="00BE4C87">
        <w:rPr>
          <w:rFonts w:asciiTheme="minorHAnsi" w:hAnsiTheme="minorHAnsi" w:cstheme="minorHAnsi"/>
        </w:rPr>
        <w:t>Komunikácia</w:t>
      </w:r>
      <w:bookmarkEnd w:id="312"/>
    </w:p>
    <w:p w14:paraId="094671D2" w14:textId="5A429FD0"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p>
    <w:p w14:paraId="6E89291A" w14:textId="48351C3A"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768E9EEB"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489F794C"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5F4744DC"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AE24E62"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lastRenderedPageBreak/>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6" w:name="_Toc99449459"/>
      <w:r w:rsidRPr="00BE4C87">
        <w:rPr>
          <w:rFonts w:asciiTheme="minorHAnsi" w:hAnsiTheme="minorHAnsi" w:cstheme="minorHAnsi"/>
        </w:rPr>
        <w:t>Definície základných pojmov</w:t>
      </w:r>
      <w:bookmarkEnd w:id="313"/>
      <w:bookmarkEnd w:id="314"/>
      <w:bookmarkEnd w:id="315"/>
      <w:bookmarkEnd w:id="316"/>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029F985F" w14:textId="77777777" w:rsidR="00D249B6" w:rsidRPr="00580B3F" w:rsidRDefault="00D249B6" w:rsidP="00D249B6">
      <w:pPr>
        <w:jc w:val="both"/>
        <w:rPr>
          <w:rFonts w:ascii="Arial Narrow" w:hAnsi="Arial Narrow" w:cstheme="minorHAnsi"/>
          <w:b/>
          <w:color w:val="002776" w:themeColor="accent1"/>
        </w:rPr>
      </w:pPr>
      <w:r w:rsidRPr="00580B3F">
        <w:rPr>
          <w:rFonts w:ascii="Arial Narrow" w:hAnsi="Arial Narrow" w:cstheme="minorHAnsi"/>
          <w:b/>
          <w:color w:val="002776" w:themeColor="accent1"/>
        </w:rPr>
        <w:t>ZÁKAZKA</w:t>
      </w:r>
    </w:p>
    <w:p w14:paraId="3FA51541" w14:textId="77777777" w:rsidR="00D249B6" w:rsidRPr="00D249B6" w:rsidRDefault="00D249B6" w:rsidP="00D249B6">
      <w:pPr>
        <w:jc w:val="both"/>
        <w:rPr>
          <w:rFonts w:asciiTheme="minorHAnsi" w:hAnsiTheme="minorHAnsi" w:cstheme="minorHAnsi"/>
          <w:spacing w:val="-5"/>
          <w:sz w:val="20"/>
          <w:szCs w:val="20"/>
        </w:rPr>
      </w:pPr>
      <w:r w:rsidRPr="00D249B6">
        <w:rPr>
          <w:rFonts w:asciiTheme="minorHAnsi" w:hAnsiTheme="minorHAnsi" w:cstheme="minorHAnsi"/>
          <w:spacing w:val="-5"/>
          <w:sz w:val="20"/>
          <w:szCs w:val="20"/>
        </w:rPr>
        <w:t>Zákazkou je odplatná zmluva (bez ohľadu na jej formu) na dodanie protiplnenia, ktorým je najmä dodanie tovaru, uskutočnenie stavebných prác alebo poskytnutie služby, na zabezpečenie realizácie investície alebo realizácie reformy.</w:t>
      </w:r>
    </w:p>
    <w:p w14:paraId="643ABD3C" w14:textId="77777777" w:rsidR="00D249B6" w:rsidRDefault="00D249B6" w:rsidP="00B66B70">
      <w:pPr>
        <w:widowControl w:val="0"/>
        <w:jc w:val="both"/>
        <w:rPr>
          <w:rFonts w:ascii="Arial Narrow" w:hAnsi="Arial Narrow" w:cstheme="minorHAnsi"/>
          <w:b/>
          <w:color w:val="002776" w:themeColor="accent1"/>
        </w:rPr>
      </w:pPr>
    </w:p>
    <w:p w14:paraId="65B54EDF" w14:textId="59EFEBED"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7" w:name="_Toc257618522"/>
      <w:bookmarkStart w:id="318" w:name="_Toc257618964"/>
      <w:bookmarkStart w:id="319" w:name="_Toc257619051"/>
      <w:bookmarkStart w:id="320" w:name="_Toc257619221"/>
      <w:bookmarkStart w:id="321" w:name="_Toc257619864"/>
      <w:bookmarkStart w:id="322" w:name="_Toc257620023"/>
      <w:bookmarkStart w:id="323" w:name="_Toc257620612"/>
      <w:bookmarkStart w:id="324" w:name="_Toc257618523"/>
      <w:bookmarkStart w:id="325" w:name="_Toc257618965"/>
      <w:bookmarkStart w:id="326" w:name="_Toc257619052"/>
      <w:bookmarkStart w:id="327" w:name="_Toc257619222"/>
      <w:bookmarkStart w:id="328" w:name="_Toc257619865"/>
      <w:bookmarkStart w:id="329" w:name="_Toc257620024"/>
      <w:bookmarkStart w:id="330" w:name="_Toc257620613"/>
      <w:bookmarkStart w:id="331" w:name="_Toc257618524"/>
      <w:bookmarkStart w:id="332" w:name="_Toc257618966"/>
      <w:bookmarkStart w:id="333" w:name="_Toc257619053"/>
      <w:bookmarkStart w:id="334" w:name="_Toc257619223"/>
      <w:bookmarkStart w:id="335" w:name="_Toc257619866"/>
      <w:bookmarkStart w:id="336" w:name="_Toc257620025"/>
      <w:bookmarkStart w:id="337" w:name="_Toc257620614"/>
      <w:bookmarkStart w:id="338" w:name="_Toc257618525"/>
      <w:bookmarkStart w:id="339" w:name="_Toc257618967"/>
      <w:bookmarkStart w:id="340" w:name="_Toc257619054"/>
      <w:bookmarkStart w:id="341" w:name="_Toc257619224"/>
      <w:bookmarkStart w:id="342" w:name="_Toc257619867"/>
      <w:bookmarkStart w:id="343" w:name="_Toc257620026"/>
      <w:bookmarkStart w:id="344" w:name="_Toc257620615"/>
      <w:bookmarkStart w:id="345" w:name="_Toc257618526"/>
      <w:bookmarkStart w:id="346" w:name="_Toc257618968"/>
      <w:bookmarkStart w:id="347" w:name="_Toc257619055"/>
      <w:bookmarkStart w:id="348" w:name="_Toc257619225"/>
      <w:bookmarkStart w:id="349" w:name="_Toc257619868"/>
      <w:bookmarkStart w:id="350" w:name="_Toc257620027"/>
      <w:bookmarkStart w:id="351" w:name="_Toc257620616"/>
      <w:bookmarkStart w:id="352" w:name="_Toc9944946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BE4C87">
        <w:rPr>
          <w:rFonts w:asciiTheme="minorHAnsi" w:hAnsiTheme="minorHAnsi" w:cstheme="minorHAnsi"/>
        </w:rPr>
        <w:t>Zoznam použitých skratiek</w:t>
      </w:r>
      <w:bookmarkEnd w:id="352"/>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r>
      <w:r w:rsidRPr="00F47D23">
        <w:rPr>
          <w:rFonts w:asciiTheme="minorHAnsi" w:hAnsiTheme="minorHAnsi" w:cstheme="minorHAnsi"/>
          <w:spacing w:val="-5"/>
          <w:sz w:val="20"/>
          <w:szCs w:val="20"/>
        </w:rPr>
        <w:t>administratívna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r>
      <w:r w:rsidRPr="00F47D23">
        <w:rPr>
          <w:rFonts w:asciiTheme="minorHAnsi" w:hAnsiTheme="minorHAnsi" w:cstheme="minorHAnsi"/>
          <w:spacing w:val="-5"/>
          <w:sz w:val="20"/>
          <w:szCs w:val="20"/>
        </w:rPr>
        <w:t>zásada „výrazne nenarušiť“, znamená nepodporovať alebo nevykonávať hospodárske činnosti, ktoré výrazne poškodzujú akékoľvek environmentálne ciele v zmysle čl.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F47D23">
        <w:rPr>
          <w:rFonts w:asciiTheme="minorHAnsi" w:hAnsiTheme="minorHAnsi" w:cstheme="minorHAnsi"/>
          <w:spacing w:val="-5"/>
          <w:sz w:val="20"/>
          <w:szCs w:val="20"/>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r>
      <w:r w:rsidRPr="00F47D23">
        <w:rPr>
          <w:rFonts w:asciiTheme="minorHAnsi" w:hAnsiTheme="minorHAnsi" w:cstheme="minorHAnsi"/>
          <w:spacing w:val="-5"/>
          <w:sz w:val="20"/>
          <w:szCs w:val="20"/>
        </w:rPr>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r>
      <w:r w:rsidRPr="00F47D23">
        <w:rPr>
          <w:rFonts w:asciiTheme="minorHAnsi" w:hAnsiTheme="minorHAnsi" w:cstheme="minorHAnsi"/>
          <w:spacing w:val="-5"/>
          <w:sz w:val="20"/>
          <w:szCs w:val="20"/>
        </w:rPr>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F47D23">
        <w:rPr>
          <w:rFonts w:asciiTheme="minorHAnsi" w:hAnsiTheme="minorHAnsi" w:cstheme="minorHAnsi"/>
          <w:spacing w:val="-5"/>
          <w:sz w:val="20"/>
          <w:szCs w:val="20"/>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r>
      <w:r w:rsidRPr="00F47D23">
        <w:rPr>
          <w:rFonts w:asciiTheme="minorHAnsi" w:hAnsiTheme="minorHAnsi" w:cstheme="minorHAnsi"/>
          <w:spacing w:val="-5"/>
          <w:sz w:val="20"/>
          <w:szCs w:val="20"/>
        </w:rPr>
        <w:t>Informačný a monitorovací systém Plánu obnovy a odolnosti Slovenskej republiky</w:t>
      </w:r>
    </w:p>
    <w:p w14:paraId="27594BD5" w14:textId="2D1C1C4C" w:rsidR="0095065E" w:rsidRDefault="0095065E"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MD SR</w:t>
      </w:r>
      <w:r>
        <w:rPr>
          <w:rFonts w:ascii="Arial Narrow" w:hAnsi="Arial Narrow" w:cstheme="minorHAnsi"/>
          <w:b/>
          <w:color w:val="002776" w:themeColor="accent1"/>
        </w:rPr>
        <w:tab/>
      </w:r>
      <w:r w:rsidRPr="003E381E">
        <w:rPr>
          <w:rFonts w:asciiTheme="minorHAnsi" w:hAnsiTheme="minorHAnsi" w:cstheme="minorHAnsi"/>
          <w:spacing w:val="-5"/>
          <w:sz w:val="20"/>
          <w:szCs w:val="20"/>
        </w:rPr>
        <w:t>Ministerstvo dopravy Slovenskej republiky</w:t>
      </w:r>
    </w:p>
    <w:p w14:paraId="5EA84CD6" w14:textId="509CB85B"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r>
      <w:r w:rsidRPr="003E381E">
        <w:rPr>
          <w:rFonts w:asciiTheme="minorHAnsi" w:hAnsiTheme="minorHAnsi" w:cstheme="minorHAnsi"/>
          <w:spacing w:val="-5"/>
          <w:sz w:val="20"/>
          <w:szCs w:val="20"/>
        </w:rPr>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r>
      <w:r w:rsidRPr="003E381E">
        <w:rPr>
          <w:rFonts w:asciiTheme="minorHAnsi" w:hAnsiTheme="minorHAnsi" w:cstheme="minorHAnsi"/>
          <w:spacing w:val="-5"/>
          <w:sz w:val="20"/>
          <w:szCs w:val="20"/>
        </w:rPr>
        <w:t>Národná implementačná a koordinačná autorita</w:t>
      </w:r>
    </w:p>
    <w:p w14:paraId="54BEBDD9" w14:textId="70E54DF0"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sidRPr="00DE5678">
        <w:rPr>
          <w:rFonts w:ascii="Arial Narrow" w:hAnsi="Arial Narrow" w:cstheme="minorHAnsi"/>
          <w:b/>
          <w:color w:val="002776" w:themeColor="accent1"/>
        </w:rPr>
        <w:t>Plán obnovy</w:t>
      </w:r>
      <w:r>
        <w:rPr>
          <w:rFonts w:ascii="Arial Narrow" w:hAnsi="Arial Narrow" w:cstheme="minorHAnsi"/>
        </w:rPr>
        <w:tab/>
      </w:r>
      <w:r w:rsidRPr="003E381E">
        <w:rPr>
          <w:rFonts w:asciiTheme="minorHAnsi" w:hAnsiTheme="minorHAnsi" w:cstheme="minorHAnsi"/>
          <w:spacing w:val="-5"/>
          <w:sz w:val="20"/>
          <w:szCs w:val="20"/>
        </w:rPr>
        <w:t>Plán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3E381E">
        <w:rPr>
          <w:rFonts w:asciiTheme="minorHAnsi" w:hAnsiTheme="minorHAnsi" w:cstheme="minorHAnsi"/>
          <w:spacing w:val="-5"/>
          <w:sz w:val="20"/>
          <w:szCs w:val="20"/>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r>
      <w:r w:rsidRPr="003E381E">
        <w:rPr>
          <w:rFonts w:asciiTheme="minorHAnsi" w:hAnsiTheme="minorHAnsi" w:cstheme="minorHAnsi"/>
          <w:spacing w:val="-5"/>
          <w:sz w:val="20"/>
          <w:szCs w:val="20"/>
        </w:rPr>
        <w:t>Protimonopolný úrad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3E381E">
        <w:rPr>
          <w:rFonts w:asciiTheme="minorHAnsi" w:hAnsiTheme="minorHAnsi" w:cstheme="minorHAnsi"/>
          <w:spacing w:val="-5"/>
          <w:sz w:val="20"/>
          <w:szCs w:val="20"/>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r>
      <w:r w:rsidRPr="003E381E">
        <w:rPr>
          <w:rFonts w:asciiTheme="minorHAnsi" w:hAnsiTheme="minorHAnsi" w:cstheme="minorHAnsi"/>
          <w:spacing w:val="-5"/>
          <w:sz w:val="20"/>
          <w:szCs w:val="20"/>
        </w:rPr>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vládneho auditu</w:t>
      </w:r>
    </w:p>
    <w:p w14:paraId="65F93C45" w14:textId="77777777"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r>
      <w:r w:rsidRPr="003E381E">
        <w:rPr>
          <w:rFonts w:asciiTheme="minorHAnsi" w:hAnsiTheme="minorHAnsi" w:cstheme="minorHAnsi"/>
          <w:spacing w:val="-5"/>
          <w:sz w:val="20"/>
          <w:szCs w:val="20"/>
        </w:rPr>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3E381E">
        <w:rPr>
          <w:rFonts w:asciiTheme="minorHAnsi" w:hAnsiTheme="minorHAnsi" w:cstheme="minorHAnsi"/>
          <w:spacing w:val="-5"/>
          <w:sz w:val="20"/>
          <w:szCs w:val="20"/>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r>
      <w:r w:rsidRPr="003E381E">
        <w:rPr>
          <w:rFonts w:asciiTheme="minorHAnsi" w:hAnsiTheme="minorHAnsi" w:cstheme="minorHAnsi"/>
          <w:spacing w:val="-5"/>
          <w:sz w:val="20"/>
          <w:szCs w:val="20"/>
        </w:rPr>
        <w:t>Zmluva o fungovaní Európskej únie</w:t>
      </w:r>
    </w:p>
    <w:p w14:paraId="6DB01338" w14:textId="6F67F6C2" w:rsidR="008114E2" w:rsidRPr="003E381E" w:rsidRDefault="008114E2" w:rsidP="00B66B70">
      <w:pPr>
        <w:widowControl w:val="0"/>
        <w:tabs>
          <w:tab w:val="left" w:pos="6789"/>
        </w:tabs>
        <w:ind w:left="1418" w:right="2268" w:hanging="1418"/>
        <w:jc w:val="both"/>
        <w:rPr>
          <w:rFonts w:asciiTheme="minorHAnsi" w:hAnsiTheme="minorHAnsi" w:cstheme="minorHAnsi"/>
          <w:bCs/>
          <w:spacing w:val="-5"/>
          <w:sz w:val="20"/>
          <w:szCs w:val="20"/>
        </w:rPr>
      </w:pPr>
      <w:r w:rsidRPr="00DE5678">
        <w:rPr>
          <w:rFonts w:ascii="Arial Narrow" w:hAnsi="Arial Narrow" w:cstheme="minorHAnsi"/>
          <w:b/>
          <w:color w:val="002776" w:themeColor="accent1"/>
        </w:rPr>
        <w:t>ZFK</w:t>
      </w:r>
      <w:r>
        <w:rPr>
          <w:rFonts w:ascii="Arial Narrow" w:hAnsi="Arial Narrow" w:cstheme="minorHAnsi"/>
        </w:rPr>
        <w:tab/>
      </w:r>
      <w:r w:rsidR="003F3F53" w:rsidRPr="003E381E">
        <w:rPr>
          <w:rFonts w:asciiTheme="minorHAnsi" w:hAnsiTheme="minorHAnsi" w:cstheme="minorHAnsi"/>
          <w:spacing w:val="-5"/>
          <w:sz w:val="20"/>
          <w:szCs w:val="20"/>
        </w:rPr>
        <w:t xml:space="preserve">Základná </w:t>
      </w:r>
      <w:r w:rsidRPr="003E381E">
        <w:rPr>
          <w:rFonts w:asciiTheme="minorHAnsi" w:hAnsiTheme="minorHAnsi" w:cstheme="minorHAnsi"/>
          <w:spacing w:val="-5"/>
          <w:sz w:val="20"/>
          <w:szCs w:val="20"/>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3" w:name="_Toc308696952"/>
      <w:bookmarkStart w:id="354" w:name="_Toc308696953"/>
      <w:bookmarkStart w:id="355" w:name="_Toc308696954"/>
      <w:bookmarkStart w:id="356" w:name="_Toc308696955"/>
      <w:bookmarkStart w:id="357" w:name="_Toc257620618"/>
      <w:bookmarkEnd w:id="353"/>
      <w:bookmarkEnd w:id="354"/>
      <w:bookmarkEnd w:id="355"/>
      <w:bookmarkEnd w:id="356"/>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lastRenderedPageBreak/>
        <w:t>Prílohy</w:t>
      </w:r>
      <w:bookmarkEnd w:id="357"/>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6A574C">
            <w:pPr>
              <w:widowControl w:val="0"/>
              <w:spacing w:line="276" w:lineRule="auto"/>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1F9E7579" w:rsidR="00340694" w:rsidRPr="00BE4C87" w:rsidRDefault="006A574C"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09/2023</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6A574C">
            <w:pPr>
              <w:widowControl w:val="0"/>
              <w:tabs>
                <w:tab w:val="left" w:pos="0"/>
              </w:tabs>
              <w:spacing w:line="276" w:lineRule="auto"/>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2E91C624" w:rsidR="00C32FC9" w:rsidRDefault="004A2E1C"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4/2023</w:t>
            </w:r>
          </w:p>
        </w:tc>
      </w:tr>
      <w:tr w:rsidR="003E381E" w:rsidRPr="00BE4C87" w14:paraId="4FBD6A2F"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788A2F48" w14:textId="77777777" w:rsidR="003E381E" w:rsidRPr="003C1E44" w:rsidRDefault="003E381E"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6844DBEF" w14:textId="1DD12CDA" w:rsidR="003E381E" w:rsidRDefault="00F72CA3" w:rsidP="00A55213">
            <w:pPr>
              <w:widowControl w:val="0"/>
              <w:tabs>
                <w:tab w:val="left" w:pos="330"/>
              </w:tabs>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Kódovanie</w:t>
            </w:r>
            <w:r w:rsidR="003E381E">
              <w:rPr>
                <w:rFonts w:asciiTheme="minorHAnsi" w:hAnsiTheme="minorHAnsi" w:cstheme="minorHAnsi"/>
                <w:sz w:val="20"/>
                <w:szCs w:val="20"/>
              </w:rPr>
              <w:t xml:space="preserve"> dokumentov</w:t>
            </w:r>
          </w:p>
        </w:tc>
        <w:tc>
          <w:tcPr>
            <w:tcW w:w="1559" w:type="dxa"/>
          </w:tcPr>
          <w:p w14:paraId="34B6468D" w14:textId="1ED8BF72" w:rsidR="003E381E" w:rsidRDefault="003E381E"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11/2023</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AEF37" w14:textId="77777777" w:rsidR="00F72CA3" w:rsidRDefault="00F72CA3" w:rsidP="00092607">
      <w:r>
        <w:separator/>
      </w:r>
    </w:p>
  </w:endnote>
  <w:endnote w:type="continuationSeparator" w:id="0">
    <w:p w14:paraId="48813831" w14:textId="77777777" w:rsidR="00F72CA3" w:rsidRDefault="00F72CA3"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5243C9AC" w:rsidR="00F72CA3" w:rsidRPr="0026691E" w:rsidRDefault="00F72CA3">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A214F5">
      <w:rPr>
        <w:rStyle w:val="slostrany"/>
        <w:rFonts w:ascii="Arial" w:hAnsi="Arial" w:cs="Arial"/>
        <w:noProof/>
        <w:sz w:val="20"/>
        <w:szCs w:val="20"/>
      </w:rPr>
      <w:t>10</w:t>
    </w:r>
    <w:r w:rsidRPr="0026691E">
      <w:rPr>
        <w:rStyle w:val="slostrany"/>
        <w:rFonts w:ascii="Arial" w:hAnsi="Arial" w:cs="Arial"/>
        <w:sz w:val="20"/>
        <w:szCs w:val="20"/>
      </w:rPr>
      <w:fldChar w:fldCharType="end"/>
    </w:r>
  </w:p>
  <w:p w14:paraId="5E4B880F" w14:textId="77777777" w:rsidR="00F72CA3" w:rsidRDefault="00F72CA3">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AF8DF" w14:textId="77777777" w:rsidR="00F72CA3" w:rsidRDefault="00F72CA3" w:rsidP="00092607">
      <w:r>
        <w:separator/>
      </w:r>
    </w:p>
  </w:footnote>
  <w:footnote w:type="continuationSeparator" w:id="0">
    <w:p w14:paraId="338A59C1" w14:textId="77777777" w:rsidR="00F72CA3" w:rsidRDefault="00F72CA3" w:rsidP="00092607">
      <w:r>
        <w:continuationSeparator/>
      </w:r>
    </w:p>
  </w:footnote>
  <w:footnote w:id="1">
    <w:p w14:paraId="0D375009" w14:textId="0211C14F" w:rsidR="00F72CA3" w:rsidRPr="00FA374B" w:rsidRDefault="00F72CA3"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F72CA3" w:rsidRPr="00DF4153" w:rsidRDefault="00F72CA3">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F72CA3" w:rsidRPr="000D08F0" w:rsidRDefault="00F72CA3"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Napr. zákon č. 343/2015 Z. z. o verejnom obstarávaní,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F72CA3" w:rsidRPr="000D08F0" w:rsidRDefault="00F72CA3" w:rsidP="00B76B6A">
      <w:pPr>
        <w:pStyle w:val="Textpoznmkypodiarou"/>
        <w:jc w:val="both"/>
        <w:rPr>
          <w:rFonts w:asciiTheme="minorHAnsi" w:hAnsiTheme="minorHAnsi" w:cstheme="minorHAnsi"/>
          <w:sz w:val="16"/>
          <w:szCs w:val="16"/>
        </w:rPr>
      </w:pPr>
    </w:p>
  </w:footnote>
  <w:footnote w:id="5">
    <w:p w14:paraId="203F4395" w14:textId="77777777" w:rsidR="00F72CA3" w:rsidRPr="000D08F0" w:rsidRDefault="00F72CA3"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Čl. 17 ods. 2 nariadenia o mechanizme.</w:t>
      </w:r>
    </w:p>
  </w:footnote>
  <w:footnote w:id="6">
    <w:p w14:paraId="36107203" w14:textId="77777777" w:rsidR="00F72CA3" w:rsidRPr="00D82C5E" w:rsidRDefault="00F72CA3" w:rsidP="00B76B6A">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Čl. 20 ods. 5 písm. d) nariadenia o mechanizme.</w:t>
      </w:r>
    </w:p>
  </w:footnote>
  <w:footnote w:id="7">
    <w:p w14:paraId="2FF2B07D" w14:textId="08F038AF" w:rsidR="00F72CA3" w:rsidRPr="000D08F0" w:rsidRDefault="00F72CA3" w:rsidP="00B76B6A">
      <w:pPr>
        <w:pStyle w:val="Textpoznmkypodiarou"/>
        <w:jc w:val="both"/>
        <w:rPr>
          <w:rFonts w:asciiTheme="minorHAnsi" w:hAnsiTheme="minorHAnsi" w:cstheme="minorHAnsi"/>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 xml:space="preserve">ovanie poskytnuté v rozpore s čl. 9 nariadenia o mechanizme, ktorý stanovuje, že „podpora v rámci mechanizmu dopĺňa </w:t>
      </w:r>
      <w:r w:rsidRPr="000D08F0">
        <w:rPr>
          <w:rFonts w:asciiTheme="minorHAnsi" w:hAnsiTheme="minorHAnsi" w:cstheme="minorHAnsi"/>
          <w:sz w:val="16"/>
          <w:szCs w:val="16"/>
        </w:rPr>
        <w:t>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F72CA3" w:rsidRPr="000D08F0" w:rsidRDefault="00F72CA3"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F72CA3" w:rsidRPr="000D08F0" w:rsidRDefault="00F72CA3"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Napr. § 31 zákona o rozpočtových pravidlách verejnej správy.</w:t>
      </w:r>
    </w:p>
  </w:footnote>
  <w:footnote w:id="10">
    <w:p w14:paraId="375BCCD0" w14:textId="07150C22" w:rsidR="00F72CA3" w:rsidRPr="000D08F0" w:rsidRDefault="00F72CA3"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4"/>
        </w:rPr>
        <w:t xml:space="preserve"> </w:t>
      </w:r>
      <w:r w:rsidRPr="000D08F0">
        <w:rPr>
          <w:rFonts w:asciiTheme="minorHAnsi" w:hAnsiTheme="minorHAnsi" w:cstheme="minorHAnsi"/>
          <w:sz w:val="16"/>
          <w:szCs w:val="16"/>
        </w:rPr>
        <w:t>Nariadenie Európskeho parlamentu a Rady (EÚ) 2020/852 z 18. júna 2020 o vytvorení rámca na uľahčenie udržateľných investícií a o zmene nariadenia (EÚ) 2019/2088 (Ú. v. EÚ L 198, 22.6.2020)</w:t>
      </w:r>
      <w:r>
        <w:rPr>
          <w:rFonts w:asciiTheme="minorHAnsi" w:hAnsiTheme="minorHAnsi" w:cstheme="minorHAnsi"/>
          <w:sz w:val="16"/>
          <w:szCs w:val="16"/>
        </w:rPr>
        <w:t xml:space="preserve">. </w:t>
      </w:r>
    </w:p>
  </w:footnote>
  <w:footnote w:id="11">
    <w:p w14:paraId="57CD0F45" w14:textId="77777777" w:rsidR="00F72CA3" w:rsidRPr="00D82C5E" w:rsidRDefault="00F72CA3" w:rsidP="00D86105">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rPr>
        <w:t xml:space="preserve"> </w:t>
      </w:r>
      <w:r w:rsidRPr="000D08F0">
        <w:rPr>
          <w:rFonts w:asciiTheme="minorHAnsi" w:hAnsiTheme="minorHAnsi" w:cstheme="minorHAnsi"/>
          <w:sz w:val="16"/>
          <w:szCs w:val="16"/>
        </w:rPr>
        <w:t>Hospodárskou činnosťou v zmysle čl. 17 nariadenia o taxonómii sa na účely implementácie Mechanizmu na podporu obnovy a odolnosti rozumie opatrenie, t. j. jednotlivé reformy a investície.</w:t>
      </w:r>
      <w:r w:rsidRPr="00D82C5E">
        <w:rPr>
          <w:rFonts w:ascii="Arial Narrow" w:hAnsi="Arial Narrow"/>
          <w:sz w:val="16"/>
          <w:szCs w:val="16"/>
        </w:rPr>
        <w:t xml:space="preserve"> </w:t>
      </w:r>
    </w:p>
  </w:footnote>
  <w:footnote w:id="12">
    <w:p w14:paraId="70CF9D62" w14:textId="77777777" w:rsidR="00F72CA3" w:rsidRPr="00D82C5E" w:rsidRDefault="00F72CA3"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E60BD1">
        <w:rPr>
          <w:rFonts w:asciiTheme="minorHAnsi" w:hAnsiTheme="minorHAnsi" w:cstheme="minorHAnsi"/>
          <w:sz w:val="16"/>
          <w:szCs w:val="16"/>
        </w:rPr>
        <w:t>V zmysle čl. 18 bod 4d a čl. 19 bod 3d nariadenia o mechanizme.</w:t>
      </w:r>
    </w:p>
  </w:footnote>
  <w:footnote w:id="13">
    <w:p w14:paraId="67D5B834" w14:textId="4F80AFF8" w:rsidR="00F72CA3" w:rsidRPr="00D82C5E" w:rsidRDefault="00F72CA3"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F72CA3" w:rsidRPr="007E391B" w:rsidRDefault="00F72CA3" w:rsidP="00D86105">
      <w:pPr>
        <w:pStyle w:val="Textpoznmkypodiarou"/>
        <w:jc w:val="both"/>
      </w:pPr>
      <w:r w:rsidRPr="000D08F0">
        <w:rPr>
          <w:rStyle w:val="Odkaznapoznmkupodiarou"/>
          <w:sz w:val="16"/>
        </w:rPr>
        <w:footnoteRef/>
      </w:r>
      <w:r w:rsidRPr="000D08F0">
        <w:rPr>
          <w:sz w:val="16"/>
        </w:rP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F72CA3" w:rsidRPr="0023706D" w:rsidRDefault="00F72CA3"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F72CA3" w:rsidRPr="00B36A60" w:rsidRDefault="00F72CA3"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F72CA3" w:rsidRDefault="00F72CA3"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F72CA3" w:rsidRPr="00A838FB" w:rsidRDefault="00F72CA3"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F72CA3" w:rsidRPr="00A838FB" w:rsidRDefault="00F72CA3"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F72CA3" w:rsidRPr="00A838FB" w:rsidRDefault="00F72CA3"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F72CA3" w:rsidRPr="00C503D1" w:rsidRDefault="00F72CA3"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F72CA3" w:rsidRPr="00D86105" w:rsidRDefault="00F72CA3"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F72CA3" w:rsidRPr="00D86105" w:rsidRDefault="00F72CA3"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F72CA3" w:rsidRDefault="00F72CA3"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F72CA3" w:rsidRPr="009664EF" w:rsidRDefault="00F72CA3"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F72CA3" w:rsidRPr="00D82C5E" w:rsidRDefault="00F72CA3"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F72CA3" w:rsidRPr="00D82C5E" w:rsidRDefault="00F72CA3"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519CEE2F" w14:textId="4E7278F0" w:rsidR="00F72CA3" w:rsidRPr="00D54856" w:rsidRDefault="00F72CA3">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29">
    <w:p w14:paraId="73920253" w14:textId="1290BF37" w:rsidR="00F72CA3" w:rsidRPr="00D82C5E" w:rsidRDefault="00F72CA3"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w:t>
      </w:r>
      <w:r>
        <w:rPr>
          <w:rFonts w:ascii="Arial Narrow" w:hAnsi="Arial Narrow"/>
          <w:sz w:val="16"/>
          <w:szCs w:val="16"/>
        </w:rPr>
        <w:t xml:space="preserve"> kapitoly MD SR</w:t>
      </w:r>
      <w:r w:rsidRPr="00BF52AC">
        <w:rPr>
          <w:rFonts w:ascii="Arial Narrow" w:hAnsi="Arial Narrow"/>
          <w:sz w:val="16"/>
          <w:szCs w:val="16"/>
        </w:rPr>
        <w:t>) a navýšením limitov výdavkov prijímateľa.</w:t>
      </w:r>
    </w:p>
  </w:footnote>
  <w:footnote w:id="30">
    <w:p w14:paraId="437017FF" w14:textId="77777777" w:rsidR="00F72CA3" w:rsidRPr="00D82C5E" w:rsidRDefault="00F72CA3"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1">
    <w:p w14:paraId="3A62292F" w14:textId="77777777" w:rsidR="00F72CA3" w:rsidRDefault="00F72CA3" w:rsidP="00DD5AB0">
      <w:pPr>
        <w:pStyle w:val="Textpoznmkypodiarou"/>
      </w:pPr>
      <w:r w:rsidRPr="00F47D23">
        <w:rPr>
          <w:rFonts w:ascii="Arial Narrow" w:hAnsi="Arial Narrow"/>
          <w:sz w:val="16"/>
          <w:szCs w:val="16"/>
        </w:rPr>
        <w:footnoteRef/>
      </w:r>
      <w:r w:rsidRPr="00F47D23">
        <w:rPr>
          <w:rFonts w:ascii="Arial Narrow" w:hAnsi="Arial Narrow"/>
          <w:sz w:val="16"/>
          <w:szCs w:val="16"/>
        </w:rPr>
        <w:t xml:space="preserve"> Pri kódovaní postupuje prijímateľ aj podľa inštrukcií v prílohe č. 5 tejto príručky. </w:t>
      </w:r>
    </w:p>
  </w:footnote>
  <w:footnote w:id="32">
    <w:p w14:paraId="1AB48DA3" w14:textId="5AB22EAA" w:rsidR="00F72CA3" w:rsidRPr="00D04F8C" w:rsidRDefault="00F72CA3"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3">
    <w:p w14:paraId="511539F8" w14:textId="5F76A94C" w:rsidR="00F72CA3" w:rsidRPr="006D7019" w:rsidRDefault="00F72CA3"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4">
    <w:p w14:paraId="213EE27B" w14:textId="1327BD63" w:rsidR="00F72CA3" w:rsidRDefault="00F72CA3">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5">
    <w:p w14:paraId="063756C9" w14:textId="476DEB35" w:rsidR="00F72CA3" w:rsidRDefault="00F72CA3"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 xml:space="preserve">Účet zriadený k príslušnej </w:t>
      </w:r>
      <w:r>
        <w:rPr>
          <w:rFonts w:ascii="Arial Narrow" w:hAnsi="Arial Narrow"/>
          <w:sz w:val="16"/>
          <w:szCs w:val="16"/>
        </w:rPr>
        <w:t xml:space="preserve">kapitole </w:t>
      </w:r>
      <w:r w:rsidRPr="00263966">
        <w:rPr>
          <w:rFonts w:ascii="Arial Narrow" w:hAnsi="Arial Narrow"/>
          <w:sz w:val="16"/>
          <w:szCs w:val="16"/>
        </w:rPr>
        <w:t>vykonávateľa.</w:t>
      </w:r>
    </w:p>
  </w:footnote>
  <w:footnote w:id="36">
    <w:p w14:paraId="14092301" w14:textId="77777777" w:rsidR="00F72CA3" w:rsidRPr="00D82C5E" w:rsidRDefault="00F72CA3"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7">
    <w:p w14:paraId="3D90A9DE" w14:textId="07448F2E" w:rsidR="00F72CA3" w:rsidRPr="00D82C5E" w:rsidRDefault="00F72CA3"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w:t>
      </w:r>
      <w:r>
        <w:rPr>
          <w:rFonts w:ascii="Arial Narrow" w:hAnsi="Arial Narrow"/>
          <w:sz w:val="16"/>
          <w:szCs w:val="16"/>
        </w:rPr>
        <w:t xml:space="preserve">kapitole </w:t>
      </w:r>
      <w:r w:rsidRPr="00D82C5E">
        <w:rPr>
          <w:rFonts w:ascii="Arial Narrow" w:hAnsi="Arial Narrow"/>
          <w:sz w:val="16"/>
          <w:szCs w:val="16"/>
        </w:rPr>
        <w:t>vykonávateľa.</w:t>
      </w:r>
    </w:p>
  </w:footnote>
  <w:footnote w:id="38">
    <w:p w14:paraId="38333B91" w14:textId="2E3D7E86" w:rsidR="00F72CA3" w:rsidRDefault="00F72CA3"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F72CA3" w:rsidRDefault="00F72CA3">
      <w:pPr>
        <w:pStyle w:val="Textpoznmkypodiarou"/>
      </w:pPr>
    </w:p>
  </w:footnote>
  <w:footnote w:id="39">
    <w:p w14:paraId="31C0F4D1" w14:textId="28F32412" w:rsidR="00F72CA3" w:rsidRDefault="00F72CA3">
      <w:pPr>
        <w:pStyle w:val="Textpoznmkypodiarou"/>
      </w:pPr>
      <w:r>
        <w:rPr>
          <w:rStyle w:val="Odkaznapoznmkupodiarou"/>
        </w:rPr>
        <w:footnoteRef/>
      </w:r>
      <w:r>
        <w:t xml:space="preserve"> </w:t>
      </w:r>
      <w:hyperlink r:id="rId2" w:history="1">
        <w:r w:rsidRPr="00A52873">
          <w:rPr>
            <w:rFonts w:asciiTheme="minorHAnsi" w:hAnsiTheme="minorHAnsi" w:cstheme="minorHAnsi"/>
            <w:sz w:val="16"/>
            <w:szCs w:val="16"/>
            <w:lang w:eastAsia="sk-SK"/>
          </w:rPr>
          <w:t>https://www.planobnovy.sk/realizacia/dokumenty/</w:t>
        </w:r>
      </w:hyperlink>
      <w:r w:rsidRPr="00A52873">
        <w:rPr>
          <w:rFonts w:asciiTheme="minorHAnsi" w:hAnsiTheme="minorHAnsi" w:cstheme="minorHAnsi"/>
          <w:sz w:val="16"/>
          <w:szCs w:val="16"/>
          <w:lang w:eastAsia="sk-SK"/>
        </w:rPr>
        <w:t>.</w:t>
      </w:r>
      <w:r>
        <w:t xml:space="preserve"> </w:t>
      </w:r>
    </w:p>
  </w:footnote>
  <w:footnote w:id="40">
    <w:p w14:paraId="5208D178" w14:textId="77777777" w:rsidR="00F72CA3" w:rsidRPr="00CF7184" w:rsidRDefault="00F72CA3"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F72CA3" w:rsidRDefault="00F72CA3"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F72CA3" w:rsidRPr="00862946" w14:paraId="3A09B1F0" w14:textId="77777777" w:rsidTr="00310E02">
      <w:tc>
        <w:tcPr>
          <w:tcW w:w="2943" w:type="dxa"/>
          <w:shd w:val="clear" w:color="auto" w:fill="auto"/>
        </w:tcPr>
        <w:p w14:paraId="48B6E829" w14:textId="703DB21E" w:rsidR="00F72CA3" w:rsidRPr="00B66B70" w:rsidRDefault="00F72CA3"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F72CA3" w:rsidRPr="00B66B70" w:rsidRDefault="00F72CA3"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55365590" w:rsidR="00F72CA3" w:rsidRPr="00B66B70" w:rsidRDefault="00F72CA3" w:rsidP="00B64A52">
          <w:pPr>
            <w:pStyle w:val="Hlavika"/>
            <w:ind w:left="142" w:hanging="142"/>
            <w:rPr>
              <w:rFonts w:ascii="Calibri" w:hAnsi="Calibri" w:cs="Calibri"/>
              <w:sz w:val="20"/>
            </w:rPr>
          </w:pPr>
          <w:r>
            <w:rPr>
              <w:rFonts w:ascii="Calibri" w:hAnsi="Calibri" w:cs="Calibri"/>
              <w:sz w:val="20"/>
            </w:rPr>
            <w:t>Verzia 5</w:t>
          </w:r>
        </w:p>
      </w:tc>
    </w:tr>
  </w:tbl>
  <w:p w14:paraId="20FC0BAC" w14:textId="77777777" w:rsidR="00F72CA3" w:rsidRPr="00B66B70" w:rsidRDefault="00F72CA3"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E70C6FD" w:rsidR="00F72CA3" w:rsidRDefault="00F72CA3"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310E02">
      <w:rPr>
        <w:noProof/>
        <w:sz w:val="18"/>
      </w:rPr>
      <w:drawing>
        <wp:inline distT="0" distB="0" distL="0" distR="0" wp14:anchorId="13F15EE2" wp14:editId="2DD1B6FB">
          <wp:extent cx="1933575" cy="457200"/>
          <wp:effectExtent l="0" t="0" r="9525" b="0"/>
          <wp:docPr id="2" name="Obrázok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video game&#10;&#10;Description automatically generated with medium confidenc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r>
      <w:tab/>
    </w:r>
  </w:p>
  <w:p w14:paraId="74DCC493" w14:textId="36CF21EA" w:rsidR="00F72CA3" w:rsidRDefault="00F72CA3" w:rsidP="005873D2">
    <w:pPr>
      <w:pStyle w:val="Hlavika"/>
      <w:jc w:val="center"/>
    </w:pPr>
  </w:p>
  <w:p w14:paraId="546E2C18" w14:textId="77777777" w:rsidR="00F72CA3" w:rsidRDefault="00F72CA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621C68"/>
    <w:multiLevelType w:val="hybridMultilevel"/>
    <w:tmpl w:val="FCF00520"/>
    <w:lvl w:ilvl="0" w:tplc="0546BD42">
      <w:start w:val="3"/>
      <w:numFmt w:val="decimal"/>
      <w:lvlText w:val="%1."/>
      <w:lvlJc w:val="left"/>
      <w:pPr>
        <w:ind w:left="584"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963BF9"/>
    <w:multiLevelType w:val="hybridMultilevel"/>
    <w:tmpl w:val="7A020B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EEE7061"/>
    <w:multiLevelType w:val="hybridMultilevel"/>
    <w:tmpl w:val="ACF0E586"/>
    <w:lvl w:ilvl="0" w:tplc="7750A000">
      <w:start w:val="1"/>
      <w:numFmt w:val="bullet"/>
      <w:lvlText w:val="-"/>
      <w:lvlJc w:val="left"/>
      <w:pPr>
        <w:ind w:left="2844" w:hanging="360"/>
      </w:pPr>
      <w:rPr>
        <w:rFonts w:ascii="Calibri" w:eastAsia="Calibri" w:hAnsi="Calibri" w:cs="Calibri" w:hint="default"/>
        <w:color w:val="FF0000"/>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75"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6"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7"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8"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9"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1"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AF67BCA"/>
    <w:multiLevelType w:val="hybridMultilevel"/>
    <w:tmpl w:val="39F240CC"/>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4"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7"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7"/>
  </w:num>
  <w:num w:numId="8">
    <w:abstractNumId w:val="78"/>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80"/>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7"/>
  </w:num>
  <w:num w:numId="24">
    <w:abstractNumId w:val="16"/>
  </w:num>
  <w:num w:numId="25">
    <w:abstractNumId w:val="20"/>
  </w:num>
  <w:num w:numId="26">
    <w:abstractNumId w:val="10"/>
  </w:num>
  <w:num w:numId="27">
    <w:abstractNumId w:val="30"/>
  </w:num>
  <w:num w:numId="28">
    <w:abstractNumId w:val="71"/>
  </w:num>
  <w:num w:numId="29">
    <w:abstractNumId w:val="85"/>
  </w:num>
  <w:num w:numId="30">
    <w:abstractNumId w:val="36"/>
    <w:lvlOverride w:ilvl="0">
      <w:startOverride w:val="5"/>
    </w:lvlOverride>
  </w:num>
  <w:num w:numId="31">
    <w:abstractNumId w:val="87"/>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6"/>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4"/>
  </w:num>
  <w:num w:numId="44">
    <w:abstractNumId w:val="73"/>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2"/>
  </w:num>
  <w:num w:numId="53">
    <w:abstractNumId w:val="43"/>
  </w:num>
  <w:num w:numId="54">
    <w:abstractNumId w:val="50"/>
  </w:num>
  <w:num w:numId="55">
    <w:abstractNumId w:val="49"/>
  </w:num>
  <w:num w:numId="56">
    <w:abstractNumId w:val="83"/>
  </w:num>
  <w:num w:numId="57">
    <w:abstractNumId w:val="5"/>
  </w:num>
  <w:num w:numId="58">
    <w:abstractNumId w:val="46"/>
  </w:num>
  <w:num w:numId="59">
    <w:abstractNumId w:val="15"/>
  </w:num>
  <w:num w:numId="60">
    <w:abstractNumId w:val="57"/>
  </w:num>
  <w:num w:numId="61">
    <w:abstractNumId w:val="3"/>
  </w:num>
  <w:num w:numId="62">
    <w:abstractNumId w:val="76"/>
  </w:num>
  <w:num w:numId="63">
    <w:abstractNumId w:val="77"/>
  </w:num>
  <w:num w:numId="64">
    <w:abstractNumId w:val="48"/>
  </w:num>
  <w:num w:numId="65">
    <w:abstractNumId w:val="22"/>
  </w:num>
  <w:num w:numId="66">
    <w:abstractNumId w:val="87"/>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81"/>
  </w:num>
  <w:num w:numId="77">
    <w:abstractNumId w:val="9"/>
  </w:num>
  <w:num w:numId="78">
    <w:abstractNumId w:val="69"/>
  </w:num>
  <w:num w:numId="7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79"/>
  </w:num>
  <w:num w:numId="85">
    <w:abstractNumId w:val="62"/>
  </w:num>
  <w:num w:numId="86">
    <w:abstractNumId w:val="23"/>
  </w:num>
  <w:num w:numId="87">
    <w:abstractNumId w:val="2"/>
  </w:num>
  <w:num w:numId="88">
    <w:abstractNumId w:val="45"/>
  </w:num>
  <w:num w:numId="89">
    <w:abstractNumId w:val="24"/>
  </w:num>
  <w:num w:numId="90">
    <w:abstractNumId w:val="70"/>
  </w:num>
  <w:num w:numId="91">
    <w:abstractNumId w:val="61"/>
  </w:num>
  <w:num w:numId="92">
    <w:abstractNumId w:val="29"/>
  </w:num>
  <w:num w:numId="93">
    <w:abstractNumId w:val="74"/>
  </w:num>
  <w:num w:numId="94">
    <w:abstractNumId w:val="7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0F57"/>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504"/>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143"/>
    <w:rsid w:val="000A414F"/>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D08F0"/>
    <w:rsid w:val="000D1926"/>
    <w:rsid w:val="000D26E5"/>
    <w:rsid w:val="000D2E3B"/>
    <w:rsid w:val="000D369B"/>
    <w:rsid w:val="000D3D59"/>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4F1E"/>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2EDC"/>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246D"/>
    <w:rsid w:val="00193373"/>
    <w:rsid w:val="00193B41"/>
    <w:rsid w:val="001944D8"/>
    <w:rsid w:val="0019508C"/>
    <w:rsid w:val="001954D1"/>
    <w:rsid w:val="001977FC"/>
    <w:rsid w:val="00197FD6"/>
    <w:rsid w:val="001A0814"/>
    <w:rsid w:val="001A1B0D"/>
    <w:rsid w:val="001A219C"/>
    <w:rsid w:val="001A2918"/>
    <w:rsid w:val="001A379C"/>
    <w:rsid w:val="001A4B0B"/>
    <w:rsid w:val="001A5A1D"/>
    <w:rsid w:val="001A6A09"/>
    <w:rsid w:val="001A6D88"/>
    <w:rsid w:val="001A6DC7"/>
    <w:rsid w:val="001A712A"/>
    <w:rsid w:val="001A7F8C"/>
    <w:rsid w:val="001B0874"/>
    <w:rsid w:val="001B10D1"/>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4E5"/>
    <w:rsid w:val="001D6EE8"/>
    <w:rsid w:val="001E0E08"/>
    <w:rsid w:val="001E1830"/>
    <w:rsid w:val="001E21E1"/>
    <w:rsid w:val="001E50CE"/>
    <w:rsid w:val="001E520A"/>
    <w:rsid w:val="001E5436"/>
    <w:rsid w:val="001E5864"/>
    <w:rsid w:val="001E58D8"/>
    <w:rsid w:val="001E5B6F"/>
    <w:rsid w:val="001E6559"/>
    <w:rsid w:val="001E6CD6"/>
    <w:rsid w:val="001E6F42"/>
    <w:rsid w:val="001F063B"/>
    <w:rsid w:val="001F0691"/>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144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0E02"/>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5BA2"/>
    <w:rsid w:val="00326F85"/>
    <w:rsid w:val="003303B3"/>
    <w:rsid w:val="00330B89"/>
    <w:rsid w:val="00332D0D"/>
    <w:rsid w:val="0033507E"/>
    <w:rsid w:val="003356C7"/>
    <w:rsid w:val="0033571F"/>
    <w:rsid w:val="00335EFA"/>
    <w:rsid w:val="00336001"/>
    <w:rsid w:val="0033613A"/>
    <w:rsid w:val="00336B46"/>
    <w:rsid w:val="00337DFB"/>
    <w:rsid w:val="00340694"/>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9D3"/>
    <w:rsid w:val="00360BA4"/>
    <w:rsid w:val="0036135C"/>
    <w:rsid w:val="00361752"/>
    <w:rsid w:val="00361E7F"/>
    <w:rsid w:val="00361ECE"/>
    <w:rsid w:val="003620A4"/>
    <w:rsid w:val="003635F2"/>
    <w:rsid w:val="003636B6"/>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0C92"/>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381E"/>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2E1C"/>
    <w:rsid w:val="004A3A45"/>
    <w:rsid w:val="004A4481"/>
    <w:rsid w:val="004A4FBB"/>
    <w:rsid w:val="004A55EE"/>
    <w:rsid w:val="004A5AD0"/>
    <w:rsid w:val="004A655C"/>
    <w:rsid w:val="004A6BFC"/>
    <w:rsid w:val="004A7579"/>
    <w:rsid w:val="004B05C3"/>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4CD"/>
    <w:rsid w:val="00632948"/>
    <w:rsid w:val="006329F6"/>
    <w:rsid w:val="00633C6F"/>
    <w:rsid w:val="0063513C"/>
    <w:rsid w:val="00637505"/>
    <w:rsid w:val="00637F7C"/>
    <w:rsid w:val="00640EC8"/>
    <w:rsid w:val="0064348E"/>
    <w:rsid w:val="006440A7"/>
    <w:rsid w:val="00644190"/>
    <w:rsid w:val="0064567D"/>
    <w:rsid w:val="0064583A"/>
    <w:rsid w:val="00645F9F"/>
    <w:rsid w:val="0064632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82A"/>
    <w:rsid w:val="00683A4B"/>
    <w:rsid w:val="00683B28"/>
    <w:rsid w:val="00683BA3"/>
    <w:rsid w:val="00684990"/>
    <w:rsid w:val="00685B23"/>
    <w:rsid w:val="00686294"/>
    <w:rsid w:val="00687396"/>
    <w:rsid w:val="006911C1"/>
    <w:rsid w:val="00691689"/>
    <w:rsid w:val="00691CA9"/>
    <w:rsid w:val="00692C2B"/>
    <w:rsid w:val="006957D8"/>
    <w:rsid w:val="00695ED2"/>
    <w:rsid w:val="00696B3E"/>
    <w:rsid w:val="006A104D"/>
    <w:rsid w:val="006A2A6B"/>
    <w:rsid w:val="006A4600"/>
    <w:rsid w:val="006A574C"/>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132F"/>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27C"/>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63F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774"/>
    <w:rsid w:val="00785FD3"/>
    <w:rsid w:val="00786D2C"/>
    <w:rsid w:val="00787591"/>
    <w:rsid w:val="00787A4B"/>
    <w:rsid w:val="007909D9"/>
    <w:rsid w:val="00790F1D"/>
    <w:rsid w:val="00791B11"/>
    <w:rsid w:val="00791CA0"/>
    <w:rsid w:val="007927A5"/>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09B7"/>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4FB"/>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28"/>
    <w:rsid w:val="00942093"/>
    <w:rsid w:val="00942AB4"/>
    <w:rsid w:val="0094351A"/>
    <w:rsid w:val="00945769"/>
    <w:rsid w:val="00945F00"/>
    <w:rsid w:val="0094612C"/>
    <w:rsid w:val="009466BA"/>
    <w:rsid w:val="009479F2"/>
    <w:rsid w:val="00947CF0"/>
    <w:rsid w:val="0095065E"/>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6D52"/>
    <w:rsid w:val="0098704D"/>
    <w:rsid w:val="00987257"/>
    <w:rsid w:val="00987343"/>
    <w:rsid w:val="00994216"/>
    <w:rsid w:val="0099435D"/>
    <w:rsid w:val="009964D5"/>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9D6"/>
    <w:rsid w:val="009C2D9F"/>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4F5"/>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2873"/>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555"/>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870"/>
    <w:rsid w:val="00B678B0"/>
    <w:rsid w:val="00B70B84"/>
    <w:rsid w:val="00B71EDE"/>
    <w:rsid w:val="00B723AF"/>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58E"/>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0CA"/>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24C"/>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9B6"/>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46BE4"/>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5AB0"/>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BD1"/>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3B8"/>
    <w:rsid w:val="00ED58A4"/>
    <w:rsid w:val="00ED64F2"/>
    <w:rsid w:val="00EE0062"/>
    <w:rsid w:val="00EE1A73"/>
    <w:rsid w:val="00EE2C73"/>
    <w:rsid w:val="00EE3007"/>
    <w:rsid w:val="00EE3195"/>
    <w:rsid w:val="00EE36A4"/>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47D23"/>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CA3"/>
    <w:rsid w:val="00F72EA1"/>
    <w:rsid w:val="00F7305A"/>
    <w:rsid w:val="00F74979"/>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3B1"/>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 (numbered (a)),List Paragraph1,List Paragraph11,Medium Grid 1 - Accent 21"/>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 (numbered (a)) Char"/>
    <w:link w:val="Odsekzoznamu"/>
    <w:uiPriority w:val="34"/>
    <w:qFormat/>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obnovy.sk/realizacia/dokumenty/" TargetMode="External"/><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9240E.5E87A3F0" TargetMode="External"/><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602C6-59E8-4E81-A9AC-C65CEAFA1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15519</Words>
  <Characters>101795</Characters>
  <Application>Microsoft Office Word</Application>
  <DocSecurity>0</DocSecurity>
  <Lines>848</Lines>
  <Paragraphs>234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KH</cp:lastModifiedBy>
  <cp:revision>6</cp:revision>
  <cp:lastPrinted>2023-11-15T07:42:00Z</cp:lastPrinted>
  <dcterms:created xsi:type="dcterms:W3CDTF">2023-11-13T13:11:00Z</dcterms:created>
  <dcterms:modified xsi:type="dcterms:W3CDTF">2023-11-22T12:55:00Z</dcterms:modified>
</cp:coreProperties>
</file>